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黑体" w:cs="Times New Roman"/>
          <w:sz w:val="44"/>
          <w:szCs w:val="44"/>
        </w:rPr>
      </w:pPr>
      <w:bookmarkStart w:id="0" w:name="_Hlk70189105"/>
      <w:bookmarkStart w:id="1" w:name="_Hlk70187013"/>
      <w:bookmarkStart w:id="2" w:name="_Hlk70189144"/>
      <w:bookmarkStart w:id="5" w:name="_GoBack"/>
      <w:bookmarkEnd w:id="5"/>
      <w:r>
        <w:rPr>
          <w:rFonts w:ascii="Times New Roman" w:hAnsi="Times New Roman" w:eastAsia="黑体" w:cs="Times New Roman"/>
          <w:sz w:val="44"/>
          <w:szCs w:val="44"/>
        </w:rPr>
        <w:t>南通市行政审批局</w:t>
      </w:r>
      <w:bookmarkEnd w:id="0"/>
      <w:bookmarkEnd w:id="1"/>
      <w:r>
        <w:rPr>
          <w:rFonts w:hint="eastAsia" w:ascii="Times New Roman" w:hAnsi="Times New Roman" w:eastAsia="黑体" w:cs="Times New Roman"/>
          <w:sz w:val="44"/>
          <w:szCs w:val="44"/>
          <w:lang w:val="en-US" w:eastAsia="zh-CN"/>
        </w:rPr>
        <w:t>商用密码应用安全性评估</w:t>
      </w:r>
      <w:r>
        <w:rPr>
          <w:rFonts w:hint="eastAsia" w:ascii="Times New Roman" w:hAnsi="Times New Roman" w:eastAsia="黑体" w:cs="Times New Roman"/>
          <w:sz w:val="44"/>
          <w:szCs w:val="44"/>
          <w:lang w:val="zh-CN"/>
        </w:rPr>
        <w:t>服务项目</w:t>
      </w:r>
      <w:r>
        <w:rPr>
          <w:rFonts w:ascii="Times New Roman" w:hAnsi="Times New Roman" w:eastAsia="黑体" w:cs="Times New Roman"/>
          <w:sz w:val="44"/>
          <w:szCs w:val="44"/>
        </w:rPr>
        <w:t>需求</w:t>
      </w:r>
      <w:bookmarkEnd w:id="2"/>
    </w:p>
    <w:p>
      <w:pPr>
        <w:spacing w:line="520" w:lineRule="exact"/>
        <w:ind w:firstLine="720" w:firstLineChars="225"/>
        <w:rPr>
          <w:rFonts w:ascii="Times New Roman" w:hAnsi="Times New Roman" w:eastAsia="方正仿宋_GBK" w:cs="Times New Roman"/>
          <w:sz w:val="32"/>
          <w:szCs w:val="32"/>
        </w:rPr>
      </w:pPr>
    </w:p>
    <w:p>
      <w:pPr>
        <w:pStyle w:val="25"/>
        <w:numPr>
          <w:ilvl w:val="0"/>
          <w:numId w:val="0"/>
        </w:numPr>
        <w:tabs>
          <w:tab w:val="left" w:pos="5325"/>
        </w:tabs>
        <w:snapToGrid w:val="0"/>
        <w:spacing w:before="156" w:beforeLines="50" w:after="156" w:afterLines="50"/>
        <w:contextualSpacing/>
        <w:rPr>
          <w:rFonts w:ascii="黑体" w:hAnsi="黑体" w:eastAsia="黑体" w:cs="Times New Roman"/>
          <w:sz w:val="32"/>
          <w:szCs w:val="32"/>
        </w:rPr>
      </w:pPr>
      <w:bookmarkStart w:id="3" w:name="_Toc344724549"/>
      <w:r>
        <w:rPr>
          <w:rFonts w:hint="default" w:ascii="黑体" w:hAnsi="黑体" w:eastAsia="黑体" w:cs="Times New Roman"/>
          <w:kern w:val="2"/>
          <w:sz w:val="32"/>
          <w:szCs w:val="32"/>
          <w:lang w:val="en-US" w:eastAsia="zh-CN" w:bidi="ar-SA"/>
        </w:rPr>
        <w:t>一、</w:t>
      </w:r>
      <w:r>
        <w:rPr>
          <w:rFonts w:hint="eastAsia" w:ascii="黑体" w:hAnsi="黑体" w:eastAsia="黑体" w:cs="Times New Roman"/>
          <w:sz w:val="32"/>
          <w:szCs w:val="32"/>
        </w:rPr>
        <w:t>基本</w:t>
      </w:r>
      <w:r>
        <w:rPr>
          <w:rFonts w:ascii="黑体" w:hAnsi="黑体" w:eastAsia="黑体" w:cs="Times New Roman"/>
          <w:sz w:val="32"/>
          <w:szCs w:val="32"/>
        </w:rPr>
        <w:t>情况</w:t>
      </w:r>
    </w:p>
    <w:p>
      <w:pPr>
        <w:pStyle w:val="19"/>
        <w:ind w:left="0" w:leftChars="0" w:firstLine="560" w:firstLineChars="200"/>
        <w:rPr>
          <w:rFonts w:hint="eastAsia"/>
          <w:lang w:val="zh-CN"/>
        </w:rPr>
      </w:pPr>
      <w:r>
        <w:rPr>
          <w:rFonts w:hint="eastAsia" w:ascii="Times New Roman" w:hAnsi="Times New Roman" w:eastAsia="方正仿宋_GBK" w:cs="Times New Roman"/>
          <w:b w:val="0"/>
          <w:bCs w:val="0"/>
          <w:kern w:val="0"/>
          <w:sz w:val="28"/>
          <w:szCs w:val="28"/>
          <w:lang w:val="zh-CN" w:eastAsia="zh-CN" w:bidi="ar-SA"/>
        </w:rPr>
        <w:t>根据《中华人民共和国密码法》、《国家政务信息化项目建设管理办法》、《江苏省省级政务信息化项目建设管理办法》等要求，结合项目建设总体规划，需对南通市行政审批局网络信息系统开展商用密码应用安全性测评，深入查找网络安全的薄弱环节和安全隐患，分析面临的风险，确保系统安全性。</w:t>
      </w:r>
    </w:p>
    <w:p>
      <w:pPr>
        <w:pStyle w:val="25"/>
        <w:numPr>
          <w:ilvl w:val="0"/>
          <w:numId w:val="0"/>
        </w:numPr>
        <w:tabs>
          <w:tab w:val="left" w:pos="5325"/>
        </w:tabs>
        <w:snapToGrid w:val="0"/>
        <w:spacing w:before="156" w:beforeLines="50" w:after="156" w:afterLines="50" w:line="360" w:lineRule="auto"/>
        <w:contextualSpacing/>
        <w:rPr>
          <w:rFonts w:ascii="黑体" w:hAnsi="黑体" w:eastAsia="黑体" w:cs="Times New Roman"/>
          <w:sz w:val="32"/>
          <w:szCs w:val="32"/>
        </w:rPr>
      </w:pPr>
      <w:bookmarkStart w:id="4" w:name="_Hlk70068067"/>
      <w:r>
        <w:rPr>
          <w:rFonts w:hint="default" w:ascii="黑体" w:hAnsi="黑体" w:eastAsia="黑体" w:cs="Times New Roman"/>
          <w:kern w:val="2"/>
          <w:sz w:val="32"/>
          <w:szCs w:val="32"/>
          <w:lang w:val="en-US" w:eastAsia="zh-CN" w:bidi="ar-SA"/>
        </w:rPr>
        <w:t>二、</w:t>
      </w:r>
      <w:r>
        <w:rPr>
          <w:rFonts w:hint="eastAsia" w:ascii="黑体" w:hAnsi="黑体" w:eastAsia="黑体" w:cs="Times New Roman"/>
          <w:sz w:val="32"/>
          <w:szCs w:val="32"/>
          <w:lang w:eastAsia="zh-CN"/>
        </w:rPr>
        <w:t>服务</w:t>
      </w:r>
      <w:r>
        <w:rPr>
          <w:rFonts w:hint="eastAsia" w:ascii="黑体" w:hAnsi="黑体" w:eastAsia="黑体" w:cs="Times New Roman"/>
          <w:sz w:val="32"/>
          <w:szCs w:val="32"/>
        </w:rPr>
        <w:t>内容</w:t>
      </w:r>
      <w:bookmarkEnd w:id="4"/>
    </w:p>
    <w:p>
      <w:pPr>
        <w:pStyle w:val="3"/>
        <w:numPr>
          <w:ilvl w:val="2"/>
          <w:numId w:val="0"/>
        </w:numPr>
        <w:snapToGrid w:val="0"/>
        <w:spacing w:line="300" w:lineRule="auto"/>
        <w:ind w:firstLine="560" w:firstLineChars="200"/>
        <w:rPr>
          <w:rFonts w:hint="default" w:ascii="Times New Roman" w:hAnsi="Times New Roman" w:eastAsia="方正仿宋_GBK" w:cs="Times New Roman"/>
          <w:b w:val="0"/>
          <w:bCs w:val="0"/>
          <w:kern w:val="0"/>
          <w:sz w:val="28"/>
          <w:szCs w:val="28"/>
          <w:lang w:val="zh-CN" w:eastAsia="zh-CN" w:bidi="ar-SA"/>
        </w:rPr>
      </w:pPr>
      <w:r>
        <w:rPr>
          <w:rFonts w:hint="default" w:ascii="Times New Roman" w:hAnsi="Times New Roman" w:eastAsia="方正仿宋_GBK" w:cs="Times New Roman"/>
          <w:b w:val="0"/>
          <w:bCs w:val="0"/>
          <w:kern w:val="0"/>
          <w:sz w:val="28"/>
          <w:szCs w:val="28"/>
          <w:lang w:val="en-US" w:eastAsia="zh-CN" w:bidi="ar-SA"/>
        </w:rPr>
        <w:t>1、商用密码应用安全性评估服务</w:t>
      </w:r>
    </w:p>
    <w:p>
      <w:pPr>
        <w:pStyle w:val="3"/>
        <w:numPr>
          <w:ilvl w:val="2"/>
          <w:numId w:val="0"/>
        </w:numPr>
        <w:snapToGrid w:val="0"/>
        <w:spacing w:line="300" w:lineRule="auto"/>
        <w:ind w:firstLine="560" w:firstLineChars="200"/>
        <w:rPr>
          <w:rFonts w:hint="default" w:ascii="Times New Roman" w:hAnsi="Times New Roman" w:eastAsia="方正仿宋_GBK" w:cs="Times New Roman"/>
          <w:b w:val="0"/>
          <w:bCs w:val="0"/>
          <w:kern w:val="0"/>
          <w:sz w:val="28"/>
          <w:szCs w:val="28"/>
          <w:lang w:val="zh-CN" w:eastAsia="zh-CN" w:bidi="ar-SA"/>
        </w:rPr>
      </w:pPr>
      <w:r>
        <w:rPr>
          <w:rFonts w:hint="default" w:ascii="Times New Roman" w:hAnsi="Times New Roman" w:eastAsia="方正仿宋_GBK" w:cs="Times New Roman"/>
          <w:b w:val="0"/>
          <w:bCs w:val="0"/>
          <w:kern w:val="0"/>
          <w:sz w:val="28"/>
          <w:szCs w:val="28"/>
          <w:lang w:val="en-US" w:eastAsia="zh-CN" w:bidi="ar-SA"/>
        </w:rPr>
        <w:t>1.1</w:t>
      </w:r>
      <w:r>
        <w:rPr>
          <w:rFonts w:hint="default" w:ascii="Times New Roman" w:hAnsi="Times New Roman" w:eastAsia="方正仿宋_GBK" w:cs="Times New Roman"/>
          <w:b w:val="0"/>
          <w:bCs w:val="0"/>
          <w:kern w:val="0"/>
          <w:sz w:val="28"/>
          <w:szCs w:val="28"/>
          <w:lang w:val="zh-CN" w:eastAsia="zh-CN" w:bidi="ar-SA"/>
        </w:rPr>
        <w:t>本次测评涉及的信息系统</w:t>
      </w:r>
    </w:p>
    <w:tbl>
      <w:tblPr>
        <w:tblStyle w:val="16"/>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2"/>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5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序号</w:t>
            </w:r>
          </w:p>
        </w:tc>
        <w:tc>
          <w:tcPr>
            <w:tcW w:w="5812"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信息系统名称</w:t>
            </w:r>
          </w:p>
        </w:tc>
        <w:tc>
          <w:tcPr>
            <w:tcW w:w="172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备案等级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5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1</w:t>
            </w:r>
          </w:p>
        </w:tc>
        <w:tc>
          <w:tcPr>
            <w:tcW w:w="5812" w:type="dxa"/>
            <w:vAlign w:val="center"/>
          </w:tcPr>
          <w:p>
            <w:pPr>
              <w:widowControl/>
              <w:shd w:val="clear" w:color="auto" w:fill="FFFFFF" w:themeFill="background1"/>
              <w:spacing w:line="360" w:lineRule="auto"/>
              <w:jc w:val="both"/>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南通市县一体化政务服务管理平台</w:t>
            </w:r>
          </w:p>
        </w:tc>
        <w:tc>
          <w:tcPr>
            <w:tcW w:w="1729" w:type="dxa"/>
            <w:vAlign w:val="center"/>
          </w:tcPr>
          <w:p>
            <w:pPr>
              <w:widowControl/>
              <w:shd w:val="clear" w:color="auto" w:fill="FFFFFF" w:themeFill="background1"/>
              <w:spacing w:line="360" w:lineRule="auto"/>
              <w:jc w:val="center"/>
              <w:rPr>
                <w:rFonts w:hint="default" w:ascii="Times New Roman" w:hAnsi="Times New Roman" w:eastAsia="方正仿宋_GBK" w:cs="Times New Roman"/>
                <w:kern w:val="2"/>
                <w:sz w:val="28"/>
                <w:szCs w:val="28"/>
                <w:lang w:val="en-US" w:eastAsia="zh-CN" w:bidi="ar-SA"/>
              </w:rPr>
            </w:pPr>
            <w:r>
              <w:rPr>
                <w:rFonts w:hint="default" w:ascii="Times New Roman" w:hAnsi="Times New Roman" w:eastAsia="方正仿宋_GBK" w:cs="Times New Roman"/>
                <w:sz w:val="28"/>
                <w:szCs w:val="28"/>
              </w:rPr>
              <w:t>叁级</w:t>
            </w:r>
          </w:p>
        </w:tc>
      </w:tr>
    </w:tbl>
    <w:p>
      <w:pPr>
        <w:pStyle w:val="3"/>
        <w:numPr>
          <w:ilvl w:val="2"/>
          <w:numId w:val="0"/>
        </w:numPr>
        <w:snapToGrid w:val="0"/>
        <w:spacing w:line="300" w:lineRule="auto"/>
        <w:ind w:firstLine="560" w:firstLineChars="200"/>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1.2 测评工作实施</w:t>
      </w:r>
    </w:p>
    <w:p>
      <w:pPr>
        <w:ind w:firstLine="560" w:firstLineChars="200"/>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依据GB/T39786-2021《信息安全技术信息系统密码应用基本要求》、GM/T 0115-2021《信息系统密码应用测评要求》、GM/T 0116-2021《信息系统密码应用测评过程指南》、《商用密码应用安全性评估测评作业指导书（试行）》，对南通市行政审批局网络信息系进行密码应用安全性评估。</w:t>
      </w:r>
    </w:p>
    <w:p>
      <w:pPr>
        <w:ind w:firstLine="560" w:firstLineChars="200"/>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1.3具体测评内容</w:t>
      </w:r>
    </w:p>
    <w:p>
      <w:pPr>
        <w:pStyle w:val="26"/>
        <w:snapToGrid w:val="0"/>
        <w:spacing w:line="300" w:lineRule="auto"/>
        <w:ind w:firstLine="560" w:firstLineChars="200"/>
        <w:contextualSpacing/>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A．</w:t>
      </w:r>
      <w:r>
        <w:rPr>
          <w:rFonts w:hint="default" w:ascii="Times New Roman" w:hAnsi="Times New Roman" w:eastAsia="方正仿宋_GBK" w:cs="Times New Roman"/>
          <w:sz w:val="28"/>
          <w:szCs w:val="28"/>
          <w:lang w:val="ja-JP" w:eastAsia="ja-JP"/>
        </w:rPr>
        <w:t>密码技术应用测评</w:t>
      </w:r>
      <w:r>
        <w:rPr>
          <w:rFonts w:hint="default" w:ascii="Times New Roman" w:hAnsi="Times New Roman" w:eastAsia="方正仿宋_GBK" w:cs="Times New Roman"/>
          <w:sz w:val="28"/>
          <w:szCs w:val="28"/>
        </w:rPr>
        <w:t>：主要包括物理安全密码测评、网络安全密码测评、主机安全密码测评、应用安全密码测评、数据安全及备份恢复密码测评。测评验证不同安全等级信息系统的商用密码应用是否达到具有相应安全等级的安全保护能力，是否满足相应安全等级的保护要求；</w:t>
      </w:r>
    </w:p>
    <w:p>
      <w:pPr>
        <w:pStyle w:val="26"/>
        <w:snapToGrid w:val="0"/>
        <w:spacing w:line="300" w:lineRule="auto"/>
        <w:ind w:firstLine="560" w:firstLineChars="200"/>
        <w:contextualSpacing/>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B．</w:t>
      </w:r>
      <w:r>
        <w:rPr>
          <w:rFonts w:hint="default" w:ascii="Times New Roman" w:hAnsi="Times New Roman" w:eastAsia="方正仿宋_GBK" w:cs="Times New Roman"/>
          <w:sz w:val="28"/>
          <w:szCs w:val="28"/>
          <w:lang w:val="ja-JP" w:eastAsia="ja-JP"/>
        </w:rPr>
        <w:t>密钥管理测评</w:t>
      </w:r>
      <w:r>
        <w:rPr>
          <w:rFonts w:hint="default" w:ascii="Times New Roman" w:hAnsi="Times New Roman" w:eastAsia="方正仿宋_GBK" w:cs="Times New Roman"/>
          <w:sz w:val="28"/>
          <w:szCs w:val="28"/>
        </w:rPr>
        <w:t>：检测信息系统密钥管理各环节，包括对密钥的生成、存储、分发、导入、导出、使用、备份、恢复、归档与销毁等环节进行管理和策略制定的全过程是否符合要求；</w:t>
      </w:r>
    </w:p>
    <w:p>
      <w:pPr>
        <w:pStyle w:val="26"/>
        <w:snapToGrid w:val="0"/>
        <w:spacing w:line="300" w:lineRule="auto"/>
        <w:ind w:firstLine="560" w:firstLineChars="200"/>
        <w:contextualSpacing/>
        <w:jc w:val="left"/>
        <w:rPr>
          <w:rFonts w:hint="eastAsia" w:ascii="Times New Roman" w:hAnsi="Times New Roman" w:eastAsia="方正仿宋_GBK" w:cs="Times New Roman"/>
          <w:sz w:val="28"/>
          <w:szCs w:val="28"/>
          <w:lang w:val="ja-JP" w:eastAsia="zh-CN"/>
        </w:rPr>
      </w:pPr>
      <w:r>
        <w:rPr>
          <w:rFonts w:hint="default" w:ascii="Times New Roman" w:hAnsi="Times New Roman" w:eastAsia="方正仿宋_GBK" w:cs="Times New Roman"/>
          <w:sz w:val="28"/>
          <w:szCs w:val="28"/>
        </w:rPr>
        <w:t>C、</w:t>
      </w:r>
      <w:r>
        <w:rPr>
          <w:rFonts w:hint="default" w:ascii="Times New Roman" w:hAnsi="Times New Roman" w:eastAsia="方正仿宋_GBK" w:cs="Times New Roman"/>
          <w:sz w:val="28"/>
          <w:szCs w:val="28"/>
          <w:lang w:val="ja-JP" w:eastAsia="ja-JP"/>
        </w:rPr>
        <w:t>安全管理测评</w:t>
      </w:r>
      <w:r>
        <w:rPr>
          <w:rFonts w:hint="eastAsia" w:ascii="Times New Roman" w:hAnsi="Times New Roman" w:eastAsia="方正仿宋_GBK" w:cs="Times New Roman"/>
          <w:sz w:val="28"/>
          <w:szCs w:val="28"/>
          <w:lang w:val="ja-JP" w:eastAsia="zh-CN"/>
        </w:rPr>
        <w:t>：对制度、人员、实施和应急等四个方面安全管理的测评，并指导采购人完善商用密码应用安全性管理制度以及和商用密码相关的系统运维管理制度；</w:t>
      </w:r>
    </w:p>
    <w:p>
      <w:pPr>
        <w:pStyle w:val="26"/>
        <w:snapToGrid w:val="0"/>
        <w:spacing w:line="300" w:lineRule="auto"/>
        <w:ind w:firstLine="560" w:firstLineChars="200"/>
        <w:contextualSpacing/>
        <w:jc w:val="left"/>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D、形成密码应用安全性评估相关报告：针对每个被评估系统编制密码应用安全性评估报告，报告按照国家密码管理局要求包含的内容编制或参考模板编制。协助被评估单位认清风险，查找漏洞，找出差距，提出有针对性地加强完善密码安全管理和防护建议，指导并督促采购人现场信息系统供应商按照要求改进进行整改落实。</w:t>
      </w:r>
    </w:p>
    <w:p>
      <w:pPr>
        <w:ind w:firstLine="560" w:firstLineChars="200"/>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2、根据被评估单位商用密码应用需求，提供相关密码应用技术咨询支持服务。</w:t>
      </w:r>
    </w:p>
    <w:p>
      <w:pPr>
        <w:pStyle w:val="25"/>
        <w:keepNext w:val="0"/>
        <w:keepLines w:val="0"/>
        <w:pageBreakBefore w:val="0"/>
        <w:widowControl w:val="0"/>
        <w:numPr>
          <w:ilvl w:val="0"/>
          <w:numId w:val="0"/>
        </w:numPr>
        <w:tabs>
          <w:tab w:val="left" w:pos="5325"/>
        </w:tabs>
        <w:kinsoku/>
        <w:wordWrap/>
        <w:overflowPunct/>
        <w:topLinePunct w:val="0"/>
        <w:autoSpaceDE/>
        <w:autoSpaceDN/>
        <w:bidi w:val="0"/>
        <w:adjustRightInd/>
        <w:snapToGrid w:val="0"/>
        <w:spacing w:before="156" w:beforeLines="50" w:after="156" w:afterLines="50" w:line="240" w:lineRule="auto"/>
        <w:ind w:left="0" w:leftChars="0" w:firstLine="0" w:firstLineChars="0"/>
        <w:contextualSpacing/>
        <w:textAlignment w:val="auto"/>
        <w:rPr>
          <w:rFonts w:ascii="黑体" w:hAnsi="黑体" w:eastAsia="黑体" w:cs="Times New Roman"/>
          <w:sz w:val="32"/>
          <w:szCs w:val="32"/>
        </w:rPr>
      </w:pPr>
      <w:r>
        <w:rPr>
          <w:rFonts w:hint="default" w:ascii="黑体" w:hAnsi="黑体" w:eastAsia="黑体" w:cs="Times New Roman"/>
          <w:kern w:val="2"/>
          <w:sz w:val="32"/>
          <w:szCs w:val="32"/>
          <w:lang w:val="en-US" w:eastAsia="zh-CN" w:bidi="ar-SA"/>
        </w:rPr>
        <w:t>三、</w:t>
      </w:r>
      <w:r>
        <w:rPr>
          <w:rFonts w:hint="eastAsia" w:ascii="黑体" w:hAnsi="黑体" w:eastAsia="黑体" w:cs="Times New Roman"/>
          <w:sz w:val="32"/>
          <w:szCs w:val="32"/>
          <w:lang w:eastAsia="zh-CN"/>
        </w:rPr>
        <w:t>测评服务</w:t>
      </w:r>
      <w:r>
        <w:rPr>
          <w:rFonts w:ascii="黑体" w:hAnsi="黑体" w:eastAsia="黑体" w:cs="Times New Roman"/>
          <w:sz w:val="32"/>
          <w:szCs w:val="32"/>
        </w:rPr>
        <w:t>要求</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contextualSpacing/>
        <w:jc w:val="left"/>
        <w:textAlignment w:val="auto"/>
        <w:rPr>
          <w:rFonts w:hint="default" w:ascii="Times New Roman" w:hAnsi="Times New Roman" w:eastAsia="方正仿宋_GBK" w:cs="Times New Roman"/>
          <w:b w:val="0"/>
          <w:bCs w:val="0"/>
          <w:kern w:val="0"/>
          <w:sz w:val="28"/>
          <w:szCs w:val="28"/>
          <w:lang w:val="en-US" w:eastAsia="zh-CN" w:bidi="ar-SA"/>
        </w:rPr>
      </w:pPr>
      <w:r>
        <w:rPr>
          <w:rFonts w:hint="eastAsia" w:ascii="Times New Roman" w:hAnsi="Times New Roman" w:eastAsia="方正仿宋_GBK" w:cs="Times New Roman"/>
          <w:b w:val="0"/>
          <w:bCs w:val="0"/>
          <w:kern w:val="0"/>
          <w:sz w:val="28"/>
          <w:szCs w:val="28"/>
          <w:lang w:val="en-US" w:eastAsia="zh-CN" w:bidi="ar-SA"/>
        </w:rPr>
        <w:t>1</w:t>
      </w:r>
      <w:r>
        <w:rPr>
          <w:rFonts w:hint="default" w:ascii="Times New Roman" w:hAnsi="Times New Roman" w:eastAsia="方正仿宋_GBK" w:cs="Times New Roman"/>
          <w:b w:val="0"/>
          <w:bCs w:val="0"/>
          <w:kern w:val="0"/>
          <w:sz w:val="28"/>
          <w:szCs w:val="28"/>
          <w:lang w:val="en-US" w:eastAsia="zh-CN" w:bidi="ar-SA"/>
        </w:rPr>
        <w:t>、交付物：《密码应用安全性评估报告》</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contextualSpacing/>
        <w:jc w:val="left"/>
        <w:textAlignment w:val="auto"/>
        <w:rPr>
          <w:rFonts w:hint="default" w:ascii="Times New Roman" w:hAnsi="Times New Roman" w:eastAsia="方正仿宋_GBK" w:cs="Times New Roman"/>
          <w:b w:val="0"/>
          <w:bCs w:val="0"/>
          <w:kern w:val="0"/>
          <w:sz w:val="28"/>
          <w:szCs w:val="28"/>
          <w:lang w:val="en-US" w:eastAsia="zh-CN" w:bidi="ar-SA"/>
        </w:rPr>
      </w:pPr>
      <w:r>
        <w:rPr>
          <w:rFonts w:hint="eastAsia" w:ascii="Times New Roman" w:hAnsi="Times New Roman" w:eastAsia="方正仿宋_GBK" w:cs="Times New Roman"/>
          <w:b w:val="0"/>
          <w:bCs w:val="0"/>
          <w:kern w:val="0"/>
          <w:sz w:val="28"/>
          <w:szCs w:val="28"/>
          <w:lang w:val="en-US" w:eastAsia="zh-CN" w:bidi="ar-SA"/>
        </w:rPr>
        <w:t>2、</w:t>
      </w:r>
      <w:r>
        <w:rPr>
          <w:rFonts w:hint="default" w:ascii="Times New Roman" w:hAnsi="Times New Roman" w:eastAsia="方正仿宋_GBK" w:cs="Times New Roman"/>
          <w:b w:val="0"/>
          <w:bCs w:val="0"/>
          <w:kern w:val="0"/>
          <w:sz w:val="28"/>
          <w:szCs w:val="28"/>
          <w:lang w:val="en-US" w:eastAsia="zh-CN" w:bidi="ar-SA"/>
        </w:rPr>
        <w:t>人员要求：</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contextualSpacing/>
        <w:jc w:val="left"/>
        <w:textAlignment w:val="auto"/>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项目负责人及测评技术人员应为本单位正式在职员工且均通过国家密码管理局组织的商用密码应用安全性评估人员测评能力考核，测评技术人员不得少于4人。供应商需提供测评能力考核成绩单并加盖公章。</w:t>
      </w:r>
    </w:p>
    <w:p>
      <w:pPr>
        <w:pStyle w:val="26"/>
        <w:autoSpaceDE w:val="0"/>
        <w:autoSpaceDN w:val="0"/>
        <w:adjustRightInd w:val="0"/>
        <w:spacing w:before="100" w:after="100"/>
        <w:ind w:right="-197" w:rightChars="-94" w:firstLine="600"/>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lang w:val="zh-CN" w:eastAsia="zh-CN"/>
        </w:rPr>
        <w:t>测评服务单位</w:t>
      </w:r>
      <w:r>
        <w:rPr>
          <w:rFonts w:hint="default" w:ascii="Times New Roman" w:hAnsi="Times New Roman" w:eastAsia="方正仿宋_GBK" w:cs="Times New Roman"/>
          <w:kern w:val="0"/>
          <w:sz w:val="28"/>
          <w:szCs w:val="28"/>
          <w:lang w:val="zh-CN"/>
        </w:rPr>
        <w:t>在测评过程中，需严格遵循保密原则，对服务过程中涉及到的任何用户信息未经允许不向其他任何第三方泄漏，以及不得利用这些信息损害采购方利益。</w:t>
      </w:r>
    </w:p>
    <w:bookmarkEnd w:id="3"/>
    <w:p>
      <w:pPr>
        <w:pStyle w:val="25"/>
        <w:keepNext w:val="0"/>
        <w:keepLines w:val="0"/>
        <w:pageBreakBefore w:val="0"/>
        <w:widowControl w:val="0"/>
        <w:tabs>
          <w:tab w:val="left" w:pos="5325"/>
        </w:tabs>
        <w:kinsoku/>
        <w:wordWrap/>
        <w:overflowPunct/>
        <w:topLinePunct w:val="0"/>
        <w:bidi w:val="0"/>
        <w:snapToGrid w:val="0"/>
        <w:spacing w:line="560" w:lineRule="exact"/>
        <w:ind w:left="0" w:leftChars="0" w:firstLine="0" w:firstLineChars="0"/>
        <w:contextualSpacing/>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w:t>
      </w:r>
      <w:r>
        <w:rPr>
          <w:rFonts w:ascii="黑体" w:hAnsi="黑体" w:eastAsia="黑体" w:cs="Times New Roman"/>
          <w:sz w:val="32"/>
          <w:szCs w:val="32"/>
        </w:rPr>
        <w:t>合同签订</w:t>
      </w:r>
    </w:p>
    <w:p>
      <w:pPr>
        <w:keepNext w:val="0"/>
        <w:keepLines w:val="0"/>
        <w:pageBreakBefore w:val="0"/>
        <w:widowControl w:val="0"/>
        <w:kinsoku/>
        <w:wordWrap/>
        <w:overflowPunct/>
        <w:topLinePunct w:val="0"/>
        <w:bidi w:val="0"/>
        <w:spacing w:line="560" w:lineRule="exact"/>
        <w:ind w:firstLine="560" w:firstLineChars="200"/>
        <w:textAlignment w:val="auto"/>
        <w:rPr>
          <w:rFonts w:hint="default" w:ascii="Times New Roman" w:hAnsi="Times New Roman" w:eastAsia="方正仿宋_GBK" w:cs="Times New Roman"/>
          <w:color w:val="FF0000"/>
          <w:sz w:val="28"/>
          <w:szCs w:val="28"/>
          <w:lang w:val="en-US" w:eastAsia="zh-CN"/>
        </w:rPr>
      </w:pPr>
      <w:r>
        <w:rPr>
          <w:rFonts w:hint="eastAsia" w:ascii="Times New Roman" w:hAnsi="Times New Roman" w:eastAsia="方正仿宋_GBK" w:cs="Times New Roman"/>
          <w:sz w:val="28"/>
          <w:szCs w:val="28"/>
          <w:lang w:val="en-US" w:eastAsia="zh-CN"/>
        </w:rPr>
        <w:t>中标结果</w:t>
      </w:r>
      <w:r>
        <w:rPr>
          <w:rFonts w:hint="eastAsia" w:ascii="Times New Roman" w:hAnsi="Times New Roman" w:eastAsia="方正仿宋_GBK" w:cs="Times New Roman"/>
          <w:sz w:val="28"/>
          <w:szCs w:val="28"/>
          <w:lang w:val="zh-CN"/>
        </w:rPr>
        <w:t>公示结束后，</w:t>
      </w: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en-US" w:eastAsia="zh-CN"/>
        </w:rPr>
        <w:t>5</w:t>
      </w:r>
      <w:r>
        <w:rPr>
          <w:rFonts w:ascii="Times New Roman" w:hAnsi="Times New Roman" w:eastAsia="方正仿宋_GBK" w:cs="Times New Roman"/>
          <w:sz w:val="28"/>
          <w:szCs w:val="28"/>
          <w:lang w:val="zh-CN"/>
        </w:rPr>
        <w:t>个工作日内签订合同</w:t>
      </w:r>
      <w:r>
        <w:rPr>
          <w:rFonts w:hint="eastAsia" w:ascii="Times New Roman" w:hAnsi="Times New Roman" w:eastAsia="方正仿宋_GBK" w:cs="Times New Roman"/>
          <w:sz w:val="28"/>
          <w:szCs w:val="28"/>
          <w:lang w:val="zh-CN"/>
        </w:rPr>
        <w:t>。</w:t>
      </w:r>
    </w:p>
    <w:p>
      <w:pPr>
        <w:pStyle w:val="25"/>
        <w:keepNext w:val="0"/>
        <w:keepLines w:val="0"/>
        <w:pageBreakBefore w:val="0"/>
        <w:widowControl w:val="0"/>
        <w:tabs>
          <w:tab w:val="left" w:pos="5325"/>
        </w:tabs>
        <w:kinsoku/>
        <w:wordWrap/>
        <w:overflowPunct/>
        <w:topLinePunct w:val="0"/>
        <w:bidi w:val="0"/>
        <w:snapToGrid w:val="0"/>
        <w:spacing w:line="560" w:lineRule="exact"/>
        <w:ind w:left="0" w:leftChars="0" w:firstLine="0" w:firstLineChars="0"/>
        <w:contextualSpacing/>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w:t>
      </w:r>
      <w:r>
        <w:rPr>
          <w:rFonts w:ascii="黑体" w:hAnsi="黑体" w:eastAsia="黑体" w:cs="Times New Roman"/>
          <w:sz w:val="32"/>
          <w:szCs w:val="32"/>
        </w:rPr>
        <w:t>付款</w:t>
      </w:r>
      <w:r>
        <w:rPr>
          <w:rFonts w:hint="eastAsia" w:ascii="黑体" w:hAnsi="黑体" w:eastAsia="黑体" w:cs="Times New Roman"/>
          <w:sz w:val="32"/>
          <w:szCs w:val="32"/>
        </w:rPr>
        <w:t>方式</w:t>
      </w:r>
    </w:p>
    <w:p>
      <w:pPr>
        <w:keepNext w:val="0"/>
        <w:keepLines w:val="0"/>
        <w:pageBreakBefore w:val="0"/>
        <w:widowControl w:val="0"/>
        <w:kinsoku/>
        <w:wordWrap/>
        <w:overflowPunct/>
        <w:topLinePunct w:val="0"/>
        <w:bidi w:val="0"/>
        <w:spacing w:line="560" w:lineRule="exact"/>
        <w:ind w:firstLine="560" w:firstLineChars="200"/>
        <w:textAlignment w:val="auto"/>
        <w:rPr>
          <w:rFonts w:hint="default"/>
          <w:lang w:val="zh-CN" w:eastAsia="zh-CN"/>
        </w:rPr>
      </w:pPr>
      <w:r>
        <w:rPr>
          <w:rFonts w:hint="eastAsia" w:ascii="Times New Roman" w:hAnsi="Times New Roman" w:eastAsia="方正仿宋_GBK"/>
          <w:sz w:val="28"/>
          <w:szCs w:val="28"/>
        </w:rPr>
        <w:t>签订合同发票送达后</w:t>
      </w:r>
      <w:r>
        <w:rPr>
          <w:rFonts w:hint="eastAsia" w:ascii="Times New Roman" w:hAnsi="Times New Roman" w:eastAsia="方正仿宋_GBK"/>
          <w:sz w:val="28"/>
          <w:szCs w:val="28"/>
          <w:lang w:val="en-US" w:eastAsia="zh-CN"/>
        </w:rPr>
        <w:t>15个工作日内支付</w:t>
      </w:r>
      <w:r>
        <w:rPr>
          <w:rFonts w:hint="eastAsia" w:ascii="Times New Roman" w:hAnsi="Times New Roman" w:eastAsia="方正仿宋_GBK"/>
          <w:sz w:val="28"/>
          <w:szCs w:val="28"/>
        </w:rPr>
        <w:t>合同价款</w:t>
      </w:r>
      <w:r>
        <w:rPr>
          <w:rFonts w:hint="eastAsia" w:ascii="Times New Roman" w:hAnsi="Times New Roman" w:eastAsia="方正仿宋_GBK"/>
          <w:sz w:val="28"/>
          <w:szCs w:val="28"/>
          <w:lang w:val="en-US" w:eastAsia="zh-CN"/>
        </w:rPr>
        <w:t>的50%，</w:t>
      </w:r>
      <w:r>
        <w:rPr>
          <w:rFonts w:hint="default" w:ascii="Times New Roman" w:hAnsi="Times New Roman" w:eastAsia="方正仿宋_GBK"/>
          <w:sz w:val="28"/>
          <w:szCs w:val="28"/>
        </w:rPr>
        <w:t>出具测评报告发票送达后</w:t>
      </w:r>
      <w:r>
        <w:rPr>
          <w:rFonts w:hint="default" w:ascii="Times New Roman" w:hAnsi="Times New Roman" w:eastAsia="方正仿宋_GBK"/>
          <w:sz w:val="28"/>
          <w:szCs w:val="28"/>
          <w:lang w:val="en-US" w:eastAsia="zh-CN"/>
        </w:rPr>
        <w:t>15</w:t>
      </w:r>
      <w:r>
        <w:rPr>
          <w:rFonts w:hint="default" w:ascii="Times New Roman" w:hAnsi="Times New Roman" w:eastAsia="方正仿宋_GBK"/>
          <w:sz w:val="28"/>
          <w:szCs w:val="28"/>
        </w:rPr>
        <w:t>个工作日内支付</w:t>
      </w:r>
      <w:r>
        <w:rPr>
          <w:rFonts w:hint="eastAsia" w:ascii="Times New Roman" w:hAnsi="Times New Roman" w:eastAsia="方正仿宋_GBK"/>
          <w:sz w:val="28"/>
          <w:szCs w:val="28"/>
        </w:rPr>
        <w:t>余款</w:t>
      </w:r>
      <w:r>
        <w:rPr>
          <w:rFonts w:hint="eastAsia" w:ascii="Times New Roman" w:hAnsi="Times New Roman" w:eastAsia="方正仿宋_GBK"/>
          <w:sz w:val="28"/>
          <w:szCs w:val="28"/>
          <w:lang w:val="en-US" w:eastAsia="zh-CN"/>
        </w:rPr>
        <w:t>50</w:t>
      </w:r>
      <w:r>
        <w:rPr>
          <w:rFonts w:hint="default" w:ascii="Times New Roman" w:hAnsi="Times New Roman" w:eastAsia="方正仿宋_GBK"/>
          <w:sz w:val="28"/>
          <w:szCs w:val="28"/>
        </w:rPr>
        <w:t>%</w:t>
      </w:r>
      <w:r>
        <w:rPr>
          <w:rFonts w:hint="default" w:ascii="Times New Roman" w:hAnsi="Times New Roman" w:eastAsia="方正仿宋_GBK"/>
          <w:sz w:val="28"/>
          <w:szCs w:val="28"/>
          <w:lang w:val="en-US" w:eastAsia="zh-CN"/>
        </w:rPr>
        <w:t>。</w:t>
      </w:r>
    </w:p>
    <w:p>
      <w:pPr>
        <w:keepNext w:val="0"/>
        <w:keepLines w:val="0"/>
        <w:pageBreakBefore w:val="0"/>
        <w:widowControl w:val="0"/>
        <w:tabs>
          <w:tab w:val="left" w:pos="5325"/>
        </w:tabs>
        <w:kinsoku/>
        <w:wordWrap/>
        <w:overflowPunct/>
        <w:topLinePunct w:val="0"/>
        <w:bidi w:val="0"/>
        <w:snapToGrid w:val="0"/>
        <w:spacing w:line="560" w:lineRule="exact"/>
        <w:contextualSpacing/>
        <w:textAlignment w:val="auto"/>
        <w:rPr>
          <w:rFonts w:ascii="黑体" w:hAnsi="黑体" w:eastAsia="黑体" w:cs="Times New Roman"/>
          <w:sz w:val="32"/>
          <w:szCs w:val="32"/>
        </w:rPr>
      </w:pPr>
      <w:r>
        <w:rPr>
          <w:rFonts w:hint="eastAsia" w:ascii="黑体" w:hAnsi="黑体" w:eastAsia="黑体" w:cs="Times New Roman"/>
          <w:sz w:val="32"/>
          <w:szCs w:val="32"/>
          <w:lang w:val="en-US" w:eastAsia="zh-CN"/>
        </w:rPr>
        <w:t>六</w:t>
      </w:r>
      <w:r>
        <w:rPr>
          <w:rFonts w:hint="eastAsia" w:ascii="黑体" w:hAnsi="黑体" w:eastAsia="黑体" w:cs="Times New Roman"/>
          <w:sz w:val="32"/>
          <w:szCs w:val="32"/>
        </w:rPr>
        <w:t>、</w:t>
      </w:r>
      <w:r>
        <w:rPr>
          <w:rFonts w:ascii="黑体" w:hAnsi="黑体" w:eastAsia="黑体" w:cs="Times New Roman"/>
          <w:sz w:val="32"/>
          <w:szCs w:val="32"/>
        </w:rPr>
        <w:t>投标供应商资格要求</w:t>
      </w:r>
    </w:p>
    <w:p>
      <w:pPr>
        <w:pStyle w:val="25"/>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zh-CN"/>
        </w:rPr>
        <w:t>符合《中华人民共和国政府采购法》第22条规定；</w:t>
      </w:r>
    </w:p>
    <w:p>
      <w:pPr>
        <w:pStyle w:val="25"/>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contextualSpacing/>
        <w:jc w:val="left"/>
        <w:textAlignment w:val="auto"/>
        <w:rPr>
          <w:rFonts w:hint="eastAsia"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zh-CN"/>
        </w:rPr>
        <w:t>具有合法经营资格并能承担完全民事责任的独立法人；</w:t>
      </w:r>
    </w:p>
    <w:p>
      <w:pPr>
        <w:pStyle w:val="25"/>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hint="eastAsia"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lang w:val="en-US" w:eastAsia="zh-CN"/>
        </w:rPr>
        <w:t>3、</w:t>
      </w:r>
      <w:r>
        <w:rPr>
          <w:rFonts w:hint="eastAsia" w:ascii="Times New Roman" w:hAnsi="Times New Roman" w:eastAsia="方正仿宋_GBK" w:cs="Times New Roman"/>
          <w:sz w:val="28"/>
          <w:szCs w:val="28"/>
          <w:lang w:val="zh-CN"/>
        </w:rPr>
        <w:t>未被“信用中国”网站列入失信被执行人、重大税收违法案件当事人名单、政府采购严重失信行为记录名单；</w:t>
      </w:r>
    </w:p>
    <w:p>
      <w:pPr>
        <w:pStyle w:val="25"/>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4、供应商须为国家密码管理局《商用密码应用安全性评估试点机构目录》内的单位，提供在目录内的证明材料并加盖公章；</w:t>
      </w:r>
    </w:p>
    <w:p>
      <w:pPr>
        <w:pStyle w:val="25"/>
        <w:keepNext w:val="0"/>
        <w:keepLines w:val="0"/>
        <w:pageBreakBefore w:val="0"/>
        <w:widowControl w:val="0"/>
        <w:kinsoku/>
        <w:wordWrap/>
        <w:overflowPunct/>
        <w:topLinePunct w:val="0"/>
        <w:autoSpaceDE w:val="0"/>
        <w:autoSpaceDN w:val="0"/>
        <w:bidi w:val="0"/>
        <w:adjustRightInd w:val="0"/>
        <w:snapToGrid w:val="0"/>
        <w:spacing w:line="560" w:lineRule="exact"/>
        <w:ind w:firstLine="640"/>
        <w:contextualSpacing/>
        <w:jc w:val="left"/>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5、本项目不接受联合体参与投标。</w:t>
      </w:r>
    </w:p>
    <w:p>
      <w:pPr>
        <w:pStyle w:val="25"/>
        <w:keepNext w:val="0"/>
        <w:keepLines w:val="0"/>
        <w:pageBreakBefore w:val="0"/>
        <w:widowControl w:val="0"/>
        <w:tabs>
          <w:tab w:val="left" w:pos="5325"/>
        </w:tabs>
        <w:kinsoku/>
        <w:wordWrap/>
        <w:overflowPunct/>
        <w:topLinePunct w:val="0"/>
        <w:bidi w:val="0"/>
        <w:snapToGrid w:val="0"/>
        <w:spacing w:line="560" w:lineRule="exact"/>
        <w:ind w:left="0" w:leftChars="0" w:firstLine="0" w:firstLineChars="0"/>
        <w:contextualSpacing/>
        <w:textAlignment w:val="auto"/>
        <w:rPr>
          <w:rFonts w:ascii="Times New Roman" w:hAnsi="Times New Roman" w:eastAsia="方正仿宋_GBK" w:cs="Times New Roman"/>
          <w:sz w:val="32"/>
          <w:szCs w:val="32"/>
        </w:rPr>
      </w:pPr>
      <w:r>
        <w:rPr>
          <w:rFonts w:hint="eastAsia" w:ascii="黑体" w:hAnsi="黑体" w:eastAsia="黑体" w:cs="Times New Roman"/>
          <w:sz w:val="32"/>
          <w:szCs w:val="32"/>
          <w:lang w:val="en-US" w:eastAsia="zh-CN"/>
        </w:rPr>
        <w:t>七</w:t>
      </w:r>
      <w:r>
        <w:rPr>
          <w:rFonts w:hint="eastAsia" w:ascii="黑体" w:hAnsi="黑体" w:eastAsia="黑体" w:cs="Times New Roman"/>
          <w:sz w:val="32"/>
          <w:szCs w:val="32"/>
        </w:rPr>
        <w:t>、</w:t>
      </w:r>
      <w:r>
        <w:rPr>
          <w:rFonts w:hint="eastAsia" w:ascii="黑体" w:hAnsi="黑体" w:eastAsia="黑体" w:cs="Times New Roman"/>
          <w:kern w:val="2"/>
          <w:sz w:val="32"/>
          <w:szCs w:val="32"/>
          <w:lang w:val="en-US" w:eastAsia="zh-CN" w:bidi="ar-SA"/>
        </w:rPr>
        <w:t>投标文件的组成</w:t>
      </w:r>
    </w:p>
    <w:p>
      <w:pPr>
        <w:keepNext w:val="0"/>
        <w:keepLines w:val="0"/>
        <w:pageBreakBefore w:val="0"/>
        <w:widowControl w:val="0"/>
        <w:kinsoku/>
        <w:wordWrap/>
        <w:overflowPunct/>
        <w:topLinePunct w:val="0"/>
        <w:bidi w:val="0"/>
        <w:snapToGrid w:val="0"/>
        <w:spacing w:line="56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投标</w:t>
      </w:r>
      <w:r>
        <w:rPr>
          <w:rFonts w:hint="eastAsia" w:ascii="方正仿宋_GBK" w:hAnsi="方正仿宋_GBK" w:eastAsia="方正仿宋_GBK" w:cs="方正仿宋_GBK"/>
          <w:b/>
          <w:sz w:val="28"/>
          <w:szCs w:val="28"/>
        </w:rPr>
        <w:t>文件由商务技术响应文件、价格响应文件</w:t>
      </w:r>
      <w:r>
        <w:rPr>
          <w:rFonts w:hint="eastAsia" w:ascii="方正仿宋_GBK" w:hAnsi="方正仿宋_GBK" w:eastAsia="方正仿宋_GBK" w:cs="方正仿宋_GBK"/>
          <w:b/>
          <w:sz w:val="28"/>
          <w:szCs w:val="28"/>
          <w:lang w:val="en-US" w:eastAsia="zh-CN"/>
        </w:rPr>
        <w:t>两</w:t>
      </w:r>
      <w:r>
        <w:rPr>
          <w:rFonts w:hint="eastAsia" w:ascii="方正仿宋_GBK" w:hAnsi="方正仿宋_GBK" w:eastAsia="方正仿宋_GBK" w:cs="方正仿宋_GBK"/>
          <w:b/>
          <w:sz w:val="28"/>
          <w:szCs w:val="28"/>
        </w:rPr>
        <w:t>部分组成。</w:t>
      </w:r>
    </w:p>
    <w:p>
      <w:pPr>
        <w:keepNext w:val="0"/>
        <w:keepLines w:val="0"/>
        <w:pageBreakBefore w:val="0"/>
        <w:widowControl w:val="0"/>
        <w:kinsoku/>
        <w:wordWrap/>
        <w:overflowPunct/>
        <w:topLinePunct w:val="0"/>
        <w:bidi w:val="0"/>
        <w:snapToGrid w:val="0"/>
        <w:spacing w:line="560" w:lineRule="exact"/>
        <w:ind w:firstLine="562" w:firstLineChars="200"/>
        <w:contextualSpacing/>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(一)</w:t>
      </w:r>
      <w:r>
        <w:rPr>
          <w:rFonts w:hint="eastAsia" w:ascii="方正仿宋_GBK" w:hAnsi="方正仿宋_GBK" w:eastAsia="方正仿宋_GBK" w:cs="方正仿宋_GBK"/>
          <w:b/>
          <w:color w:val="000000" w:themeColor="text1"/>
          <w:sz w:val="28"/>
          <w:szCs w:val="28"/>
          <w14:textFill>
            <w14:solidFill>
              <w14:schemeClr w14:val="tx1"/>
            </w14:solidFill>
          </w14:textFill>
        </w:rPr>
        <w:t>商务技术</w:t>
      </w:r>
      <w:r>
        <w:rPr>
          <w:rFonts w:hint="eastAsia" w:ascii="方正仿宋_GBK" w:hAnsi="方正仿宋_GBK" w:eastAsia="方正仿宋_GBK" w:cs="方正仿宋_GBK"/>
          <w:b/>
          <w:sz w:val="28"/>
          <w:szCs w:val="28"/>
        </w:rPr>
        <w:t>响应文件（</w:t>
      </w:r>
      <w:r>
        <w:rPr>
          <w:rFonts w:hint="eastAsia" w:ascii="方正仿宋_GBK" w:hAnsi="方正仿宋_GBK" w:eastAsia="方正仿宋_GBK" w:cs="方正仿宋_GBK"/>
          <w:b/>
          <w:color w:val="000000" w:themeColor="text1"/>
          <w:sz w:val="28"/>
          <w:szCs w:val="28"/>
          <w14:textFill>
            <w14:solidFill>
              <w14:schemeClr w14:val="tx1"/>
            </w14:solidFill>
          </w14:textFill>
        </w:rPr>
        <w:t>不得出现报价</w:t>
      </w:r>
      <w:r>
        <w:rPr>
          <w:rFonts w:hint="eastAsia" w:ascii="方正仿宋_GBK" w:hAnsi="方正仿宋_GBK" w:eastAsia="方正仿宋_GBK" w:cs="方正仿宋_GBK"/>
          <w:b/>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b/>
          <w:sz w:val="28"/>
          <w:szCs w:val="28"/>
        </w:rPr>
        <w:t>一正</w:t>
      </w:r>
      <w:r>
        <w:rPr>
          <w:rFonts w:hint="eastAsia" w:ascii="方正仿宋_GBK" w:hAnsi="方正仿宋_GBK" w:eastAsia="方正仿宋_GBK" w:cs="方正仿宋_GBK"/>
          <w:b/>
          <w:sz w:val="28"/>
          <w:szCs w:val="28"/>
          <w:lang w:val="en-US" w:eastAsia="zh-CN"/>
        </w:rPr>
        <w:t>两</w:t>
      </w:r>
      <w:r>
        <w:rPr>
          <w:rFonts w:hint="eastAsia" w:ascii="方正仿宋_GBK" w:hAnsi="方正仿宋_GBK" w:eastAsia="方正仿宋_GBK" w:cs="方正仿宋_GBK"/>
          <w:b/>
          <w:sz w:val="28"/>
          <w:szCs w:val="28"/>
        </w:rPr>
        <w:t>副，单独密封装订）：</w:t>
      </w:r>
    </w:p>
    <w:p>
      <w:pPr>
        <w:pStyle w:val="26"/>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textAlignment w:val="auto"/>
        <w:rPr>
          <w:rFonts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zh-CN" w:eastAsia="zh-CN" w:bidi="ar-SA"/>
        </w:rPr>
        <w:t>1、法定代表人参加投标的，提供法定代表人身份证复印件（加盖公章）；授权委托人参加投标的，提供法定代表人授权委托书、法定代表人和授权委托人身份证复印件（加盖公章）；</w:t>
      </w:r>
    </w:p>
    <w:p>
      <w:pPr>
        <w:pStyle w:val="2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contextualSpacing/>
        <w:jc w:val="left"/>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2、</w:t>
      </w:r>
      <w:r>
        <w:rPr>
          <w:rFonts w:hint="eastAsia" w:ascii="Times New Roman" w:hAnsi="Times New Roman" w:eastAsia="方正仿宋_GBK" w:cs="Times New Roman"/>
          <w:kern w:val="2"/>
          <w:sz w:val="28"/>
          <w:szCs w:val="28"/>
          <w:lang w:val="zh-CN" w:eastAsia="zh-CN" w:bidi="ar-SA"/>
        </w:rPr>
        <w:t>营业执照复印件（加盖公章）；</w:t>
      </w:r>
    </w:p>
    <w:p>
      <w:pPr>
        <w:pStyle w:val="25"/>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560" w:firstLineChars="200"/>
        <w:contextualSpacing/>
        <w:jc w:val="left"/>
        <w:textAlignment w:val="auto"/>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3、信用中国信用信息报告</w:t>
      </w:r>
      <w:r>
        <w:rPr>
          <w:rFonts w:hint="eastAsia" w:ascii="Times New Roman" w:hAnsi="Times New Roman" w:eastAsia="方正仿宋_GBK" w:cs="Times New Roman"/>
          <w:kern w:val="2"/>
          <w:sz w:val="28"/>
          <w:szCs w:val="28"/>
          <w:lang w:val="zh-CN" w:eastAsia="zh-CN" w:bidi="ar-SA"/>
        </w:rPr>
        <w:t>（加盖公章）；</w:t>
      </w:r>
    </w:p>
    <w:p>
      <w:pPr>
        <w:pStyle w:val="26"/>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4、</w:t>
      </w:r>
      <w:r>
        <w:rPr>
          <w:rFonts w:hint="eastAsia" w:ascii="Times New Roman" w:hAnsi="Times New Roman" w:eastAsia="方正仿宋_GBK" w:cs="Times New Roman"/>
          <w:kern w:val="2"/>
          <w:sz w:val="28"/>
          <w:szCs w:val="28"/>
          <w:lang w:val="zh-CN" w:eastAsia="zh-CN" w:bidi="ar-SA"/>
        </w:rPr>
        <w:t>投标承诺函（</w:t>
      </w:r>
      <w:r>
        <w:rPr>
          <w:rFonts w:hint="eastAsia" w:ascii="Times New Roman" w:hAnsi="Times New Roman" w:eastAsia="方正仿宋_GBK" w:cs="Times New Roman"/>
          <w:kern w:val="2"/>
          <w:sz w:val="28"/>
          <w:szCs w:val="28"/>
          <w:lang w:val="en-US" w:eastAsia="zh-CN" w:bidi="ar-SA"/>
        </w:rPr>
        <w:t>见附件一</w:t>
      </w:r>
      <w:r>
        <w:rPr>
          <w:rFonts w:hint="eastAsia" w:ascii="Times New Roman" w:hAnsi="Times New Roman" w:eastAsia="方正仿宋_GBK" w:cs="Times New Roman"/>
          <w:kern w:val="2"/>
          <w:sz w:val="28"/>
          <w:szCs w:val="28"/>
          <w:lang w:val="zh-CN" w:eastAsia="zh-CN" w:bidi="ar-SA"/>
        </w:rPr>
        <w:t>）；</w:t>
      </w:r>
    </w:p>
    <w:p>
      <w:pPr>
        <w:pStyle w:val="26"/>
        <w:keepNext w:val="0"/>
        <w:keepLines w:val="0"/>
        <w:pageBreakBefore w:val="0"/>
        <w:widowControl w:val="0"/>
        <w:kinsoku/>
        <w:wordWrap/>
        <w:overflowPunct/>
        <w:topLinePunct w:val="0"/>
        <w:autoSpaceDE w:val="0"/>
        <w:autoSpaceDN w:val="0"/>
        <w:bidi w:val="0"/>
        <w:adjustRightInd w:val="0"/>
        <w:snapToGrid w:val="0"/>
        <w:spacing w:line="560" w:lineRule="exact"/>
        <w:ind w:right="-197" w:rightChars="-94" w:firstLine="640"/>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5、响应方案，</w:t>
      </w:r>
      <w:r>
        <w:rPr>
          <w:rFonts w:hint="eastAsia" w:ascii="Times New Roman" w:hAnsi="Times New Roman" w:eastAsia="方正仿宋_GBK" w:cs="Times New Roman"/>
          <w:kern w:val="2"/>
          <w:sz w:val="28"/>
          <w:szCs w:val="28"/>
          <w:lang w:val="zh-CN" w:eastAsia="zh-CN" w:bidi="ar-SA"/>
        </w:rPr>
        <w:t>为方便评委评审，请投标人按评标办法中所涉及的事项顺序进行编制，可以补充相关材料；</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6</w:t>
      </w:r>
      <w:r>
        <w:rPr>
          <w:rFonts w:hint="eastAsia" w:ascii="Times New Roman" w:hAnsi="Times New Roman" w:eastAsia="方正仿宋_GBK" w:cs="Times New Roman"/>
          <w:kern w:val="2"/>
          <w:sz w:val="28"/>
          <w:szCs w:val="28"/>
          <w:lang w:val="zh-CN" w:eastAsia="zh-CN" w:bidi="ar-SA"/>
        </w:rPr>
        <w:t>、评标办法中未涉及的事项，投标人认为需要提交的其他资料。</w:t>
      </w:r>
    </w:p>
    <w:p>
      <w:pPr>
        <w:pStyle w:val="14"/>
        <w:keepNext w:val="0"/>
        <w:keepLines w:val="0"/>
        <w:pageBreakBefore w:val="0"/>
        <w:widowControl w:val="0"/>
        <w:kinsoku/>
        <w:wordWrap/>
        <w:overflowPunct/>
        <w:topLinePunct w:val="0"/>
        <w:bidi w:val="0"/>
        <w:spacing w:after="0" w:line="560" w:lineRule="exact"/>
        <w:ind w:left="0" w:leftChars="0" w:firstLine="281" w:firstLineChars="100"/>
        <w:textAlignment w:val="auto"/>
        <w:rPr>
          <w:rFonts w:hint="eastAsia" w:eastAsia="仿宋"/>
          <w:sz w:val="28"/>
          <w:szCs w:val="28"/>
          <w:lang w:eastAsia="zh-CN"/>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二</w:t>
      </w:r>
      <w:r>
        <w:rPr>
          <w:rFonts w:hint="eastAsia" w:ascii="仿宋" w:hAnsi="仿宋" w:eastAsia="仿宋" w:cs="仿宋"/>
          <w:b/>
          <w:sz w:val="28"/>
          <w:szCs w:val="28"/>
          <w:lang w:eastAsia="zh-CN"/>
        </w:rPr>
        <w:t>）</w:t>
      </w:r>
      <w:r>
        <w:rPr>
          <w:rFonts w:hint="eastAsia" w:ascii="仿宋" w:hAnsi="仿宋" w:eastAsia="仿宋" w:cs="仿宋"/>
          <w:b/>
          <w:sz w:val="28"/>
          <w:szCs w:val="28"/>
        </w:rPr>
        <w:t>价格响应文件</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单本</w:t>
      </w:r>
      <w:r>
        <w:rPr>
          <w:rFonts w:hint="eastAsia" w:ascii="仿宋" w:hAnsi="仿宋" w:eastAsia="仿宋" w:cs="仿宋"/>
          <w:b/>
          <w:sz w:val="28"/>
          <w:szCs w:val="28"/>
        </w:rPr>
        <w:t>单独密封装订</w:t>
      </w:r>
      <w:r>
        <w:rPr>
          <w:rFonts w:hint="eastAsia" w:ascii="仿宋" w:hAnsi="仿宋" w:eastAsia="仿宋" w:cs="仿宋"/>
          <w:b/>
          <w:sz w:val="28"/>
          <w:szCs w:val="28"/>
          <w:lang w:eastAsia="zh-CN"/>
        </w:rPr>
        <w:t>）</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Times New Roman" w:hAnsi="Times New Roman" w:eastAsia="方正仿宋_GBK" w:cs="Times New Roman"/>
          <w:kern w:val="2"/>
          <w:sz w:val="28"/>
          <w:szCs w:val="28"/>
          <w:lang w:val="zh-CN" w:eastAsia="zh-CN" w:bidi="ar-SA"/>
        </w:rPr>
      </w:pPr>
      <w:r>
        <w:rPr>
          <w:rFonts w:hint="eastAsia" w:ascii="Times New Roman" w:hAnsi="Times New Roman" w:eastAsia="方正仿宋_GBK" w:cs="Times New Roman"/>
          <w:kern w:val="2"/>
          <w:sz w:val="28"/>
          <w:szCs w:val="28"/>
          <w:lang w:val="en-US" w:eastAsia="zh-CN" w:bidi="ar-SA"/>
        </w:rPr>
        <w:t>1</w:t>
      </w:r>
      <w:r>
        <w:rPr>
          <w:rFonts w:hint="eastAsia" w:ascii="Times New Roman" w:hAnsi="Times New Roman" w:eastAsia="方正仿宋_GBK" w:cs="Times New Roman"/>
          <w:kern w:val="2"/>
          <w:sz w:val="28"/>
          <w:szCs w:val="28"/>
          <w:lang w:val="zh-CN" w:eastAsia="zh-CN" w:bidi="ar-SA"/>
        </w:rPr>
        <w:t>、</w:t>
      </w:r>
      <w:r>
        <w:rPr>
          <w:rFonts w:hint="eastAsia" w:ascii="Times New Roman" w:hAnsi="Times New Roman" w:eastAsia="方正仿宋_GBK" w:cs="Times New Roman"/>
          <w:kern w:val="2"/>
          <w:sz w:val="28"/>
          <w:szCs w:val="28"/>
          <w:lang w:val="en-US" w:eastAsia="zh-CN" w:bidi="ar-SA"/>
        </w:rPr>
        <w:t>分项</w:t>
      </w:r>
      <w:r>
        <w:rPr>
          <w:rFonts w:hint="eastAsia" w:ascii="Times New Roman" w:hAnsi="Times New Roman" w:eastAsia="方正仿宋_GBK" w:cs="Times New Roman"/>
          <w:kern w:val="2"/>
          <w:sz w:val="28"/>
          <w:szCs w:val="28"/>
          <w:lang w:val="zh-CN" w:eastAsia="zh-CN" w:bidi="ar-SA"/>
        </w:rPr>
        <w:t>明细报价</w:t>
      </w:r>
      <w:r>
        <w:rPr>
          <w:rFonts w:hint="eastAsia" w:ascii="Times New Roman" w:hAnsi="Times New Roman" w:eastAsia="方正仿宋_GBK" w:cs="Times New Roman"/>
          <w:kern w:val="2"/>
          <w:sz w:val="28"/>
          <w:szCs w:val="28"/>
          <w:lang w:val="en-US" w:eastAsia="zh-CN" w:bidi="ar-SA"/>
        </w:rPr>
        <w:t>表；</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hint="eastAsia" w:ascii="Times New Roman" w:hAnsi="Times New Roman" w:eastAsia="方正仿宋_GBK" w:cs="Times New Roman"/>
          <w:kern w:val="2"/>
          <w:sz w:val="32"/>
          <w:szCs w:val="32"/>
          <w:lang w:val="zh-CN" w:eastAsia="zh-CN" w:bidi="ar-SA"/>
        </w:rPr>
      </w:pPr>
      <w:r>
        <w:rPr>
          <w:rFonts w:hint="eastAsia" w:ascii="Times New Roman" w:hAnsi="Times New Roman" w:eastAsia="方正仿宋_GBK" w:cs="Times New Roman"/>
          <w:kern w:val="2"/>
          <w:sz w:val="28"/>
          <w:szCs w:val="28"/>
          <w:lang w:val="en-US" w:eastAsia="zh-CN" w:bidi="ar-SA"/>
        </w:rPr>
        <w:t>2</w:t>
      </w:r>
      <w:r>
        <w:rPr>
          <w:rFonts w:hint="eastAsia" w:ascii="Times New Roman" w:hAnsi="Times New Roman" w:eastAsia="方正仿宋_GBK" w:cs="Times New Roman"/>
          <w:kern w:val="2"/>
          <w:sz w:val="28"/>
          <w:szCs w:val="28"/>
          <w:lang w:val="zh-CN" w:eastAsia="zh-CN" w:bidi="ar-SA"/>
        </w:rPr>
        <w:t>、磋商响应报价表（见附件</w:t>
      </w:r>
      <w:r>
        <w:rPr>
          <w:rFonts w:hint="eastAsia" w:ascii="Times New Roman" w:hAnsi="Times New Roman" w:eastAsia="方正仿宋_GBK" w:cs="Times New Roman"/>
          <w:kern w:val="2"/>
          <w:sz w:val="28"/>
          <w:szCs w:val="28"/>
          <w:lang w:val="en-US" w:eastAsia="zh-CN" w:bidi="ar-SA"/>
        </w:rPr>
        <w:t>二</w:t>
      </w:r>
      <w:r>
        <w:rPr>
          <w:rFonts w:hint="eastAsia" w:ascii="Times New Roman" w:hAnsi="Times New Roman" w:eastAsia="方正仿宋_GBK" w:cs="Times New Roman"/>
          <w:kern w:val="2"/>
          <w:sz w:val="28"/>
          <w:szCs w:val="28"/>
          <w:lang w:val="zh-CN" w:eastAsia="zh-CN" w:bidi="ar-SA"/>
        </w:rPr>
        <w:t>）。</w:t>
      </w:r>
    </w:p>
    <w:p>
      <w:pPr>
        <w:pStyle w:val="14"/>
        <w:keepNext w:val="0"/>
        <w:keepLines w:val="0"/>
        <w:pageBreakBefore w:val="0"/>
        <w:widowControl w:val="0"/>
        <w:kinsoku/>
        <w:wordWrap/>
        <w:overflowPunct/>
        <w:topLinePunct w:val="0"/>
        <w:bidi w:val="0"/>
        <w:spacing w:after="0" w:line="560" w:lineRule="exact"/>
        <w:ind w:left="0" w:leftChars="0" w:firstLine="0" w:firstLineChars="0"/>
        <w:textAlignment w:val="auto"/>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八、评分标准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采用综合评分法</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zh-CN" w:eastAsia="zh-CN"/>
        </w:rPr>
        <w:t>按照供应商</w:t>
      </w:r>
      <w:r>
        <w:rPr>
          <w:rFonts w:hint="eastAsia" w:ascii="方正仿宋_GBK" w:hAnsi="方正仿宋_GBK" w:eastAsia="方正仿宋_GBK" w:cs="方正仿宋_GBK"/>
          <w:sz w:val="28"/>
          <w:szCs w:val="28"/>
          <w:lang w:val="en-US" w:eastAsia="zh-CN"/>
        </w:rPr>
        <w:t>提交的</w:t>
      </w:r>
      <w:r>
        <w:rPr>
          <w:rFonts w:hint="eastAsia" w:ascii="方正仿宋_GBK" w:hAnsi="方正仿宋_GBK" w:eastAsia="方正仿宋_GBK" w:cs="方正仿宋_GBK"/>
          <w:sz w:val="28"/>
          <w:szCs w:val="28"/>
        </w:rPr>
        <w:t>响应文件和最后报价进行综合评分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最终得分最高的为第一成交候选人，在分数相同的情况下由采购人代表现场抽签确定成交候选人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若第一成交候选人弃标的，由第二成交候选人成交，依次类推。</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商务技术部分评审结束后，再开启最后报价计算分值。总分值为100分，加分和减分因素除外。</w:t>
      </w:r>
    </w:p>
    <w:p>
      <w:pPr>
        <w:keepNext w:val="0"/>
        <w:keepLines w:val="0"/>
        <w:pageBreakBefore w:val="0"/>
        <w:widowControl w:val="0"/>
        <w:kinsoku/>
        <w:wordWrap/>
        <w:overflowPunct/>
        <w:topLinePunct w:val="0"/>
        <w:bidi w:val="0"/>
        <w:snapToGrid w:val="0"/>
        <w:spacing w:line="560" w:lineRule="exact"/>
        <w:ind w:left="2" w:firstLine="562" w:firstLineChars="200"/>
        <w:jc w:val="left"/>
        <w:textAlignment w:val="auto"/>
        <w:rPr>
          <w:rFonts w:hint="eastAsia" w:ascii="方正仿宋_GBK" w:hAnsi="方正仿宋_GBK" w:eastAsia="方正仿宋_GBK" w:cs="方正仿宋_GBK"/>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商务技术分</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28"/>
          <w:szCs w:val="28"/>
          <w14:textFill>
            <w14:solidFill>
              <w14:schemeClr w14:val="tx1"/>
            </w14:solidFill>
          </w14:textFill>
        </w:rPr>
        <w:t>0</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分</w:t>
      </w:r>
    </w:p>
    <w:p>
      <w:pPr>
        <w:keepNext w:val="0"/>
        <w:keepLines w:val="0"/>
        <w:pageBreakBefore w:val="0"/>
        <w:widowControl w:val="0"/>
        <w:kinsoku/>
        <w:wordWrap/>
        <w:overflowPunct/>
        <w:topLinePunct w:val="0"/>
        <w:bidi w:val="0"/>
        <w:snapToGrid w:val="0"/>
        <w:spacing w:line="560" w:lineRule="exact"/>
        <w:contextualSpacing/>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各投标人得分为评委会成员评分的算术平均分，分值保留小数点后两位。</w:t>
      </w:r>
    </w:p>
    <w:tbl>
      <w:tblPr>
        <w:tblStyle w:val="15"/>
        <w:tblW w:w="850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1080"/>
        <w:gridCol w:w="52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8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b/>
                <w:bCs/>
                <w:i w:val="0"/>
                <w:iCs w:val="0"/>
                <w:color w:val="000000"/>
                <w:kern w:val="2"/>
                <w:sz w:val="21"/>
                <w:szCs w:val="21"/>
                <w:highlight w:val="none"/>
                <w:u w:val="none"/>
                <w:lang w:val="en-US" w:eastAsia="zh-CN" w:bidi="ar-SA"/>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108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b/>
                <w:bCs/>
                <w:i w:val="0"/>
                <w:iCs w:val="0"/>
                <w:color w:val="000000"/>
                <w:kern w:val="2"/>
                <w:sz w:val="21"/>
                <w:szCs w:val="21"/>
                <w:highlight w:val="none"/>
                <w:u w:val="none"/>
                <w:lang w:val="en-US" w:eastAsia="zh-CN" w:bidi="ar-SA"/>
              </w:rPr>
            </w:pPr>
            <w:r>
              <w:rPr>
                <w:rFonts w:hint="eastAsia" w:ascii="仿宋" w:hAnsi="仿宋" w:eastAsia="仿宋" w:cs="仿宋"/>
                <w:b/>
                <w:bCs/>
                <w:i w:val="0"/>
                <w:iCs w:val="0"/>
                <w:color w:val="000000"/>
                <w:kern w:val="0"/>
                <w:sz w:val="21"/>
                <w:szCs w:val="21"/>
                <w:highlight w:val="none"/>
                <w:u w:val="none"/>
                <w:lang w:val="en-US" w:eastAsia="zh-CN" w:bidi="ar"/>
              </w:rPr>
              <w:t>评审因素</w:t>
            </w:r>
          </w:p>
        </w:tc>
        <w:tc>
          <w:tcPr>
            <w:tcW w:w="526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b/>
                <w:bCs/>
                <w:i w:val="0"/>
                <w:iCs w:val="0"/>
                <w:color w:val="000000"/>
                <w:kern w:val="2"/>
                <w:sz w:val="21"/>
                <w:szCs w:val="21"/>
                <w:highlight w:val="none"/>
                <w:u w:val="none"/>
                <w:lang w:val="en-US" w:eastAsia="zh-CN" w:bidi="ar-SA"/>
              </w:rPr>
            </w:pPr>
            <w:r>
              <w:rPr>
                <w:rFonts w:hint="eastAsia" w:ascii="仿宋" w:hAnsi="仿宋" w:eastAsia="仿宋" w:cs="仿宋"/>
                <w:b/>
                <w:bCs/>
                <w:i w:val="0"/>
                <w:iCs w:val="0"/>
                <w:color w:val="000000"/>
                <w:kern w:val="0"/>
                <w:sz w:val="21"/>
                <w:szCs w:val="21"/>
                <w:highlight w:val="none"/>
                <w:u w:val="none"/>
                <w:lang w:val="en-US" w:eastAsia="zh-CN" w:bidi="ar"/>
              </w:rPr>
              <w:t>评审细则</w:t>
            </w:r>
          </w:p>
        </w:tc>
        <w:tc>
          <w:tcPr>
            <w:tcW w:w="108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b/>
                <w:bCs/>
                <w:i w:val="0"/>
                <w:iCs w:val="0"/>
                <w:color w:val="000000"/>
                <w:kern w:val="2"/>
                <w:sz w:val="21"/>
                <w:szCs w:val="21"/>
                <w:highlight w:val="none"/>
                <w:u w:val="none"/>
                <w:lang w:val="en-US" w:eastAsia="zh-CN" w:bidi="ar-SA"/>
              </w:rPr>
            </w:pPr>
            <w:r>
              <w:rPr>
                <w:rFonts w:hint="eastAsia" w:ascii="仿宋" w:hAnsi="仿宋" w:eastAsia="仿宋" w:cs="仿宋"/>
                <w:b/>
                <w:bCs/>
                <w:i w:val="0"/>
                <w:iCs w:val="0"/>
                <w:color w:val="000000"/>
                <w:kern w:val="0"/>
                <w:sz w:val="21"/>
                <w:szCs w:val="21"/>
                <w:highlight w:val="none"/>
                <w:u w:val="none"/>
                <w:lang w:val="en-US" w:eastAsia="zh-CN"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500" w:type="dxa"/>
            <w:gridSpan w:val="4"/>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1.商务（29分）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6" w:hRule="atLeast"/>
        </w:trPr>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080"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履约能力（29分）</w:t>
            </w:r>
          </w:p>
        </w:tc>
        <w:tc>
          <w:tcPr>
            <w:tcW w:w="5260" w:type="dxa"/>
            <w:tcBorders>
              <w:top w:val="single" w:color="auto" w:sz="4" w:space="0"/>
              <w:left w:val="single" w:color="auto" w:sz="4" w:space="0"/>
              <w:bottom w:val="single" w:color="auto" w:sz="4" w:space="0"/>
              <w:right w:val="single" w:color="auto" w:sz="4" w:space="0"/>
            </w:tcBorders>
            <w:shd w:val="clear" w:color="auto" w:fill="auto"/>
            <w:vAlign w:val="bottom"/>
          </w:tcPr>
          <w:p>
            <w:pPr>
              <w:pStyle w:val="5"/>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供应商</w:t>
            </w:r>
            <w:r>
              <w:rPr>
                <w:rFonts w:hint="eastAsia" w:ascii="仿宋" w:hAnsi="仿宋" w:eastAsia="仿宋" w:cs="仿宋"/>
              </w:rPr>
              <w:t>具有国家密码管理局下发的《关于同意开展商用密码应用安全性评估试点工作的告知书》，得</w:t>
            </w:r>
            <w:r>
              <w:rPr>
                <w:rFonts w:hint="eastAsia" w:ascii="仿宋" w:hAnsi="仿宋" w:eastAsia="仿宋" w:cs="仿宋"/>
                <w:lang w:val="en-US" w:eastAsia="zh-CN"/>
              </w:rPr>
              <w:t>3</w:t>
            </w:r>
            <w:r>
              <w:rPr>
                <w:rFonts w:hint="eastAsia" w:ascii="仿宋" w:hAnsi="仿宋" w:eastAsia="仿宋" w:cs="仿宋"/>
              </w:rPr>
              <w:t>分。（提供公文接收单位的证明材料复印件）</w:t>
            </w:r>
          </w:p>
          <w:p>
            <w:pPr>
              <w:pStyle w:val="5"/>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供应商</w:t>
            </w:r>
            <w:r>
              <w:rPr>
                <w:rFonts w:hint="eastAsia" w:ascii="仿宋" w:hAnsi="仿宋" w:eastAsia="仿宋" w:cs="仿宋"/>
              </w:rPr>
              <w:t>具有有效期内的ISO9001质量管理体系认证证书（资质范围需明确包含：密码应用安全性评估），得</w:t>
            </w:r>
            <w:r>
              <w:rPr>
                <w:rFonts w:hint="eastAsia" w:ascii="仿宋" w:hAnsi="仿宋" w:eastAsia="仿宋" w:cs="仿宋"/>
                <w:lang w:val="en-US" w:eastAsia="zh-CN"/>
              </w:rPr>
              <w:t>2</w:t>
            </w:r>
            <w:r>
              <w:rPr>
                <w:rFonts w:hint="eastAsia" w:ascii="仿宋" w:hAnsi="仿宋" w:eastAsia="仿宋" w:cs="仿宋"/>
              </w:rPr>
              <w:t>分。（提供证书复印件）</w:t>
            </w:r>
          </w:p>
          <w:p>
            <w:pPr>
              <w:pStyle w:val="5"/>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rPr>
            </w:pPr>
            <w:r>
              <w:rPr>
                <w:rFonts w:hint="eastAsia" w:ascii="仿宋" w:hAnsi="仿宋" w:eastAsia="仿宋" w:cs="仿宋"/>
              </w:rPr>
              <w:t>（3）</w:t>
            </w:r>
            <w:r>
              <w:rPr>
                <w:rFonts w:hint="eastAsia" w:ascii="仿宋" w:hAnsi="仿宋" w:eastAsia="仿宋" w:cs="仿宋"/>
                <w:lang w:eastAsia="zh-CN"/>
              </w:rPr>
              <w:t>供应商</w:t>
            </w:r>
            <w:r>
              <w:rPr>
                <w:rFonts w:hint="eastAsia" w:ascii="仿宋" w:hAnsi="仿宋" w:eastAsia="仿宋" w:cs="仿宋"/>
              </w:rPr>
              <w:t>具有有效期内的ISO27001信息安全管理体系认证证书（业务范围需明确包含：信息系统安全风险评估），得</w:t>
            </w:r>
            <w:r>
              <w:rPr>
                <w:rFonts w:hint="eastAsia" w:ascii="仿宋" w:hAnsi="仿宋" w:eastAsia="仿宋" w:cs="仿宋"/>
                <w:lang w:val="en-US" w:eastAsia="zh-CN"/>
              </w:rPr>
              <w:t>2</w:t>
            </w:r>
            <w:r>
              <w:rPr>
                <w:rFonts w:hint="eastAsia" w:ascii="仿宋" w:hAnsi="仿宋" w:eastAsia="仿宋" w:cs="仿宋"/>
              </w:rPr>
              <w:t>分。（提供证书复印件）</w:t>
            </w:r>
          </w:p>
          <w:p>
            <w:pPr>
              <w:pStyle w:val="5"/>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rPr>
            </w:pPr>
            <w:r>
              <w:rPr>
                <w:rFonts w:hint="eastAsia" w:ascii="仿宋" w:hAnsi="仿宋" w:eastAsia="仿宋" w:cs="仿宋"/>
              </w:rPr>
              <w:t>（4）</w:t>
            </w:r>
            <w:r>
              <w:rPr>
                <w:rFonts w:hint="eastAsia" w:ascii="仿宋" w:hAnsi="仿宋" w:eastAsia="仿宋" w:cs="仿宋"/>
                <w:lang w:eastAsia="zh-CN"/>
              </w:rPr>
              <w:t>供应商</w:t>
            </w:r>
            <w:r>
              <w:rPr>
                <w:rFonts w:hint="eastAsia" w:ascii="仿宋" w:hAnsi="仿宋" w:eastAsia="仿宋" w:cs="仿宋"/>
              </w:rPr>
              <w:t>具有国家级检验检测机构资质认定证书（CMA证书），得3分。（提供证书复印件）</w:t>
            </w:r>
          </w:p>
          <w:p>
            <w:pPr>
              <w:pStyle w:val="5"/>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rPr>
            </w:pPr>
            <w:r>
              <w:rPr>
                <w:rFonts w:hint="eastAsia" w:ascii="仿宋" w:hAnsi="仿宋" w:eastAsia="仿宋" w:cs="仿宋"/>
              </w:rPr>
              <w:t>（5）</w:t>
            </w:r>
            <w:r>
              <w:rPr>
                <w:rFonts w:hint="eastAsia" w:ascii="仿宋" w:hAnsi="仿宋" w:eastAsia="仿宋" w:cs="仿宋"/>
                <w:lang w:eastAsia="zh-CN"/>
              </w:rPr>
              <w:t>供应商</w:t>
            </w:r>
            <w:r>
              <w:rPr>
                <w:rFonts w:hint="eastAsia" w:ascii="仿宋" w:hAnsi="仿宋" w:eastAsia="仿宋" w:cs="仿宋"/>
              </w:rPr>
              <w:t>具</w:t>
            </w:r>
            <w:r>
              <w:rPr>
                <w:rFonts w:hint="eastAsia" w:ascii="仿宋" w:hAnsi="仿宋" w:eastAsia="仿宋" w:cs="仿宋"/>
                <w:lang w:val="en-US" w:eastAsia="zh-CN"/>
              </w:rPr>
              <w:t>有</w:t>
            </w:r>
            <w:r>
              <w:rPr>
                <w:rFonts w:hint="eastAsia" w:ascii="仿宋" w:hAnsi="仿宋" w:eastAsia="仿宋" w:cs="仿宋"/>
              </w:rPr>
              <w:t>中国合格评定认可委员会认可的检验机构和检测实验室资质，得</w:t>
            </w:r>
            <w:r>
              <w:rPr>
                <w:rFonts w:hint="eastAsia" w:ascii="仿宋" w:hAnsi="仿宋" w:eastAsia="仿宋" w:cs="仿宋"/>
                <w:lang w:val="en-US" w:eastAsia="zh-CN"/>
              </w:rPr>
              <w:t>3</w:t>
            </w:r>
            <w:r>
              <w:rPr>
                <w:rFonts w:hint="eastAsia" w:ascii="仿宋" w:hAnsi="仿宋" w:eastAsia="仿宋" w:cs="仿宋"/>
              </w:rPr>
              <w:t>分。（提供证书复印件）</w:t>
            </w:r>
          </w:p>
          <w:p>
            <w:pPr>
              <w:pStyle w:val="5"/>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rPr>
            </w:pPr>
            <w:r>
              <w:rPr>
                <w:rFonts w:hint="eastAsia" w:ascii="仿宋" w:hAnsi="仿宋" w:eastAsia="仿宋" w:cs="仿宋"/>
              </w:rPr>
              <w:t>（6）</w:t>
            </w:r>
            <w:r>
              <w:rPr>
                <w:rFonts w:hint="eastAsia" w:ascii="仿宋" w:hAnsi="仿宋" w:eastAsia="仿宋" w:cs="仿宋"/>
                <w:lang w:eastAsia="zh-CN"/>
              </w:rPr>
              <w:t>供应商</w:t>
            </w:r>
            <w:r>
              <w:rPr>
                <w:rFonts w:hint="eastAsia" w:ascii="仿宋" w:hAnsi="仿宋" w:eastAsia="仿宋" w:cs="仿宋"/>
              </w:rPr>
              <w:t>参与起草过信息安全、密码领域的国家标准制订工作的，得</w:t>
            </w:r>
            <w:r>
              <w:rPr>
                <w:rFonts w:hint="eastAsia" w:ascii="仿宋" w:hAnsi="仿宋" w:eastAsia="仿宋" w:cs="仿宋"/>
                <w:lang w:val="en-US" w:eastAsia="zh-CN"/>
              </w:rPr>
              <w:t>4</w:t>
            </w:r>
            <w:r>
              <w:rPr>
                <w:rFonts w:hint="eastAsia" w:ascii="仿宋" w:hAnsi="仿宋" w:eastAsia="仿宋" w:cs="仿宋"/>
              </w:rPr>
              <w:t>分。（该项需提供标准文件的封面和“前言”页面复印件并加盖公章，未提供不得分）</w:t>
            </w:r>
          </w:p>
          <w:p>
            <w:pPr>
              <w:pStyle w:val="5"/>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zCs w:val="22"/>
              </w:rPr>
            </w:pPr>
            <w:r>
              <w:rPr>
                <w:rFonts w:hint="eastAsia" w:ascii="仿宋" w:hAnsi="仿宋" w:eastAsia="仿宋" w:cs="仿宋"/>
              </w:rPr>
              <w:t>（</w:t>
            </w:r>
            <w:r>
              <w:rPr>
                <w:rFonts w:hint="eastAsia" w:ascii="仿宋" w:hAnsi="仿宋" w:eastAsia="仿宋" w:cs="仿宋"/>
                <w:lang w:val="en-US" w:eastAsia="zh-CN"/>
              </w:rPr>
              <w:t>7</w:t>
            </w:r>
            <w:r>
              <w:rPr>
                <w:rFonts w:hint="eastAsia" w:ascii="仿宋" w:hAnsi="仿宋" w:eastAsia="仿宋" w:cs="仿宋"/>
              </w:rPr>
              <w:t>）</w:t>
            </w:r>
            <w:r>
              <w:rPr>
                <w:rFonts w:hint="eastAsia" w:ascii="仿宋" w:hAnsi="仿宋" w:eastAsia="仿宋" w:cs="仿宋"/>
                <w:szCs w:val="21"/>
                <w:lang w:eastAsia="zh-CN"/>
              </w:rPr>
              <w:t>供应商</w:t>
            </w:r>
            <w:r>
              <w:rPr>
                <w:rFonts w:hint="eastAsia" w:ascii="仿宋" w:hAnsi="仿宋" w:eastAsia="仿宋" w:cs="仿宋"/>
                <w:szCs w:val="21"/>
              </w:rPr>
              <w:t>提供服务所必需的合规的密码检测设备或工具，该设备或工具具有商用密码产品认证证书和由国家</w:t>
            </w:r>
            <w:r>
              <w:rPr>
                <w:rFonts w:hint="eastAsia" w:ascii="仿宋" w:hAnsi="仿宋" w:eastAsia="仿宋" w:cs="仿宋"/>
                <w:szCs w:val="22"/>
              </w:rPr>
              <w:t>密码管理局商用密码检测中心印发的校准标识的得4分，否则不得分。</w:t>
            </w:r>
          </w:p>
          <w:p>
            <w:pPr>
              <w:pStyle w:val="5"/>
              <w:rPr>
                <w:rFonts w:hint="eastAsia" w:ascii="仿宋" w:hAnsi="仿宋" w:eastAsia="仿宋" w:cs="仿宋"/>
              </w:rPr>
            </w:pPr>
            <w:r>
              <w:rPr>
                <w:rFonts w:hint="eastAsia" w:ascii="仿宋" w:hAnsi="仿宋" w:eastAsia="仿宋" w:cs="仿宋"/>
                <w:lang w:val="en-US" w:eastAsia="zh-CN"/>
              </w:rPr>
              <w:t>（8）供应商</w:t>
            </w:r>
            <w:r>
              <w:rPr>
                <w:rFonts w:hint="eastAsia" w:ascii="仿宋" w:hAnsi="仿宋" w:eastAsia="仿宋" w:cs="仿宋"/>
              </w:rPr>
              <w:t>或其团队参加全国密码技术大赛获得优胜及以上荣誉奖项，得2分。（提供证书复印件）</w:t>
            </w:r>
          </w:p>
          <w:p>
            <w:pPr>
              <w:pStyle w:val="5"/>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9）供应商或其团队参加全国信息安全攻防竞赛，并获得前三名或季军及以上的，得2分。</w:t>
            </w:r>
            <w:r>
              <w:rPr>
                <w:rFonts w:hint="eastAsia" w:ascii="仿宋" w:hAnsi="仿宋" w:eastAsia="仿宋" w:cs="仿宋"/>
              </w:rPr>
              <w:t>（提供证书复印件）</w:t>
            </w:r>
          </w:p>
          <w:p>
            <w:pPr>
              <w:pStyle w:val="6"/>
              <w:rPr>
                <w:rFonts w:hint="default" w:eastAsia="仿宋"/>
                <w:lang w:val="en-US" w:eastAsia="zh-CN"/>
              </w:rPr>
            </w:pPr>
            <w:r>
              <w:rPr>
                <w:rFonts w:hint="eastAsia" w:ascii="仿宋" w:hAnsi="仿宋" w:eastAsia="仿宋" w:cs="仿宋"/>
                <w:lang w:eastAsia="zh-CN"/>
              </w:rPr>
              <w:t>（</w:t>
            </w:r>
            <w:r>
              <w:rPr>
                <w:rFonts w:hint="eastAsia" w:ascii="仿宋" w:hAnsi="仿宋" w:eastAsia="仿宋" w:cs="仿宋"/>
                <w:lang w:val="en-US" w:eastAsia="zh-CN"/>
              </w:rPr>
              <w:t>10）具有安全产品漏洞挖掘的技术能力，每提供一项证明得2分，最多得4分（提供发现漏洞证明材料，并加盖公章，证明材料上名称与供应商名称一致，否则不得分）</w:t>
            </w:r>
          </w:p>
        </w:tc>
        <w:tc>
          <w:tcPr>
            <w:tcW w:w="1080" w:type="dxa"/>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500" w:type="dxa"/>
            <w:gridSpan w:val="4"/>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2.技术（51分）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1080"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实施方案（4分）</w:t>
            </w:r>
          </w:p>
        </w:tc>
        <w:tc>
          <w:tcPr>
            <w:tcW w:w="5260" w:type="dxa"/>
            <w:tcBorders>
              <w:top w:val="single" w:color="auto" w:sz="4" w:space="0"/>
              <w:left w:val="single" w:color="auto" w:sz="4" w:space="0"/>
              <w:bottom w:val="nil"/>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根据供应商提供的测评实施方案的完整性和合理性进行评分：</w:t>
            </w:r>
          </w:p>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方案合理，具备非常好的可行性得3-4分；</w:t>
            </w:r>
          </w:p>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方案一般，具备一般的可行性得1-2分；</w:t>
            </w:r>
          </w:p>
          <w:p>
            <w:pPr>
              <w:pStyle w:val="5"/>
              <w:keepNext w:val="0"/>
              <w:keepLines w:val="0"/>
              <w:pageBreakBefore w:val="0"/>
              <w:kinsoku/>
              <w:wordWrap/>
              <w:overflowPunct/>
              <w:topLinePunct w:val="0"/>
              <w:autoSpaceDE/>
              <w:autoSpaceDN/>
              <w:bidi w:val="0"/>
              <w:adjustRightInd/>
              <w:snapToGrid/>
              <w:spacing w:after="0"/>
              <w:rPr>
                <w:rFonts w:hint="default"/>
                <w:lang w:val="en-US"/>
              </w:rPr>
            </w:pPr>
            <w:r>
              <w:rPr>
                <w:rFonts w:hint="eastAsia" w:ascii="仿宋" w:hAnsi="仿宋" w:eastAsia="仿宋" w:cs="仿宋"/>
                <w:i w:val="0"/>
                <w:iCs w:val="0"/>
                <w:color w:val="000000"/>
                <w:kern w:val="0"/>
                <w:sz w:val="21"/>
                <w:szCs w:val="21"/>
                <w:u w:val="none"/>
                <w:lang w:val="en-US" w:eastAsia="zh-CN" w:bidi="ar"/>
              </w:rPr>
              <w:t>方案相关内容缺失，不具备可行性得0分。</w:t>
            </w:r>
          </w:p>
        </w:tc>
        <w:tc>
          <w:tcPr>
            <w:tcW w:w="1080" w:type="dxa"/>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tcBorders>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1080" w:type="dxa"/>
            <w:tcBorders>
              <w:bottom w:val="nil"/>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组织架构(4分)</w:t>
            </w:r>
          </w:p>
        </w:tc>
        <w:tc>
          <w:tcPr>
            <w:tcW w:w="5260" w:type="dxa"/>
            <w:tcBorders>
              <w:top w:val="single" w:color="auto" w:sz="4" w:space="0"/>
              <w:left w:val="single" w:color="auto" w:sz="4" w:space="0"/>
              <w:bottom w:val="nil"/>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根据供应商提供的服务组织架构的完整性和合理性进行评分：</w:t>
            </w:r>
          </w:p>
          <w:p>
            <w:pPr>
              <w:pStyle w:val="5"/>
              <w:keepNext w:val="0"/>
              <w:keepLines w:val="0"/>
              <w:pageBreakBefore w:val="0"/>
              <w:kinsoku/>
              <w:wordWrap/>
              <w:overflowPunct/>
              <w:topLinePunct w:val="0"/>
              <w:autoSpaceDE/>
              <w:autoSpaceDN/>
              <w:bidi w:val="0"/>
              <w:adjustRightInd/>
              <w:snapToGrid/>
              <w:spacing w:after="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架构合理，具备非常好的可行性得3-4分；</w:t>
            </w:r>
          </w:p>
          <w:p>
            <w:pPr>
              <w:pStyle w:val="5"/>
              <w:keepNext w:val="0"/>
              <w:keepLines w:val="0"/>
              <w:pageBreakBefore w:val="0"/>
              <w:kinsoku/>
              <w:wordWrap/>
              <w:overflowPunct/>
              <w:topLinePunct w:val="0"/>
              <w:autoSpaceDE/>
              <w:autoSpaceDN/>
              <w:bidi w:val="0"/>
              <w:adjustRightInd/>
              <w:snapToGrid/>
              <w:spacing w:after="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架构一般，具备一般的可行性得1-2分；</w:t>
            </w:r>
          </w:p>
          <w:p>
            <w:pPr>
              <w:pStyle w:val="6"/>
              <w:keepNext w:val="0"/>
              <w:keepLines w:val="0"/>
              <w:pageBreakBefore w:val="0"/>
              <w:kinsoku/>
              <w:wordWrap/>
              <w:overflowPunct/>
              <w:topLinePunct w:val="0"/>
              <w:autoSpaceDE/>
              <w:autoSpaceDN/>
              <w:bidi w:val="0"/>
              <w:adjustRightInd/>
              <w:snapToGrid/>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架构相关内容缺失，不具备可行性得0分。</w:t>
            </w:r>
          </w:p>
        </w:tc>
        <w:tc>
          <w:tcPr>
            <w:tcW w:w="1080" w:type="dxa"/>
            <w:tcBorders>
              <w:left w:val="single" w:color="auto" w:sz="4" w:space="0"/>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1080"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测评进度（4分）</w:t>
            </w:r>
          </w:p>
        </w:tc>
        <w:tc>
          <w:tcPr>
            <w:tcW w:w="5260" w:type="dxa"/>
            <w:tcBorders>
              <w:top w:val="single" w:color="auto" w:sz="4" w:space="0"/>
              <w:left w:val="single" w:color="auto" w:sz="4" w:space="0"/>
              <w:bottom w:val="nil"/>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根据供应商提供的测评进度安排的完整性和合理性进行评分：</w:t>
            </w:r>
          </w:p>
          <w:p>
            <w:pPr>
              <w:pStyle w:val="5"/>
              <w:keepNext w:val="0"/>
              <w:keepLines w:val="0"/>
              <w:pageBreakBefore w:val="0"/>
              <w:kinsoku/>
              <w:wordWrap/>
              <w:overflowPunct/>
              <w:topLinePunct w:val="0"/>
              <w:autoSpaceDE/>
              <w:autoSpaceDN/>
              <w:bidi w:val="0"/>
              <w:adjustRightInd/>
              <w:snapToGrid/>
              <w:spacing w:after="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安排合理，具备非常好的可行性得3-4分；</w:t>
            </w:r>
          </w:p>
          <w:p>
            <w:pPr>
              <w:pStyle w:val="6"/>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安排一般，具备一般的可行性得1-2分；</w:t>
            </w:r>
          </w:p>
          <w:p>
            <w:pPr>
              <w:pStyle w:val="6"/>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安排相关内容缺失，不具备可行性得0分；</w:t>
            </w:r>
          </w:p>
        </w:tc>
        <w:tc>
          <w:tcPr>
            <w:tcW w:w="1080" w:type="dxa"/>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1080"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培训方案 （4分）</w:t>
            </w:r>
          </w:p>
        </w:tc>
        <w:tc>
          <w:tcPr>
            <w:tcW w:w="5260" w:type="dxa"/>
            <w:tcBorders>
              <w:top w:val="single" w:color="auto" w:sz="4" w:space="0"/>
              <w:left w:val="single" w:color="auto" w:sz="4" w:space="0"/>
              <w:bottom w:val="nil"/>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根据供应商提供的培训方案进行评分：</w:t>
            </w:r>
          </w:p>
          <w:p>
            <w:pPr>
              <w:pStyle w:val="5"/>
              <w:keepNext w:val="0"/>
              <w:keepLines w:val="0"/>
              <w:pageBreakBefore w:val="0"/>
              <w:kinsoku/>
              <w:wordWrap/>
              <w:overflowPunct/>
              <w:topLinePunct w:val="0"/>
              <w:autoSpaceDE/>
              <w:autoSpaceDN/>
              <w:bidi w:val="0"/>
              <w:adjustRightInd/>
              <w:snapToGrid/>
              <w:spacing w:after="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方案合理，具备非常好的可行性得3-4分；</w:t>
            </w:r>
          </w:p>
          <w:p>
            <w:pPr>
              <w:pStyle w:val="6"/>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方案一般，具备一般的可行性得1-2分；</w:t>
            </w:r>
          </w:p>
          <w:p>
            <w:pPr>
              <w:pStyle w:val="6"/>
              <w:keepNext w:val="0"/>
              <w:keepLines w:val="0"/>
              <w:pageBreakBefore w:val="0"/>
              <w:kinsoku/>
              <w:wordWrap/>
              <w:overflowPunct/>
              <w:topLinePunct w:val="0"/>
              <w:autoSpaceDE/>
              <w:autoSpaceDN/>
              <w:bidi w:val="0"/>
              <w:adjustRightInd/>
              <w:snapToGrid/>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方案相关内容缺失，不具备可行性得0分。</w:t>
            </w:r>
          </w:p>
        </w:tc>
        <w:tc>
          <w:tcPr>
            <w:tcW w:w="1080" w:type="dxa"/>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1080"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售后服务方案（4分）</w:t>
            </w:r>
          </w:p>
        </w:tc>
        <w:tc>
          <w:tcPr>
            <w:tcW w:w="5260" w:type="dxa"/>
            <w:tcBorders>
              <w:top w:val="single" w:color="auto" w:sz="4" w:space="0"/>
              <w:left w:val="single" w:color="auto" w:sz="4" w:space="0"/>
              <w:bottom w:val="nil"/>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售后服务方案全面合理，服务流程及内容具体，响应时间迅速，服务人员齐备，得3-4分。</w:t>
            </w:r>
          </w:p>
          <w:p>
            <w:pPr>
              <w:pStyle w:val="5"/>
              <w:keepNext w:val="0"/>
              <w:keepLines w:val="0"/>
              <w:pageBreakBefore w:val="0"/>
              <w:kinsoku/>
              <w:wordWrap/>
              <w:overflowPunct/>
              <w:topLinePunct w:val="0"/>
              <w:autoSpaceDE/>
              <w:autoSpaceDN/>
              <w:bidi w:val="0"/>
              <w:adjustRightInd/>
              <w:snapToGrid/>
              <w:spacing w:after="0"/>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售后服务方案较全面，有基本服务流程及内容，响应时间较为迅速，服务人员匹配基本满足需求，得1-2分。</w:t>
            </w:r>
          </w:p>
          <w:p>
            <w:pPr>
              <w:pStyle w:val="6"/>
              <w:keepNext w:val="0"/>
              <w:keepLines w:val="0"/>
              <w:pageBreakBefore w:val="0"/>
              <w:kinsoku/>
              <w:wordWrap/>
              <w:overflowPunct/>
              <w:topLinePunct w:val="0"/>
              <w:autoSpaceDE/>
              <w:autoSpaceDN/>
              <w:bidi w:val="0"/>
              <w:adjustRightInd/>
              <w:snapToGrid/>
              <w:rPr>
                <w:rFonts w:hint="eastAsia"/>
              </w:rPr>
            </w:pPr>
            <w:r>
              <w:rPr>
                <w:rFonts w:hint="eastAsia" w:ascii="仿宋" w:hAnsi="仿宋" w:eastAsia="仿宋" w:cs="仿宋"/>
                <w:i w:val="0"/>
                <w:iCs w:val="0"/>
                <w:color w:val="000000"/>
                <w:kern w:val="0"/>
                <w:sz w:val="21"/>
                <w:szCs w:val="21"/>
                <w:u w:val="none"/>
                <w:lang w:val="en-US" w:eastAsia="zh-CN" w:bidi="ar"/>
              </w:rPr>
              <w:t>售后服务方案较片面，服务流程及内容空洞或欠缺，响应时间缓慢，服务人员匹配欠缺，得0分。</w:t>
            </w:r>
          </w:p>
        </w:tc>
        <w:tc>
          <w:tcPr>
            <w:tcW w:w="1080" w:type="dxa"/>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08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1080" w:type="dxa"/>
            <w:vMerge w:val="restart"/>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团队服务能力</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（25分）</w:t>
            </w:r>
          </w:p>
        </w:tc>
        <w:tc>
          <w:tcPr>
            <w:tcW w:w="5260" w:type="dxa"/>
            <w:tcBorders>
              <w:top w:val="single" w:color="auto" w:sz="4" w:space="0"/>
              <w:left w:val="single" w:color="auto" w:sz="4" w:space="0"/>
              <w:bottom w:val="nil"/>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项目负责人（唯一）：</w:t>
            </w:r>
          </w:p>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rPr>
              <w:t>（1）在国家密码管理局组织的商用密码应用安全性评估人员测评能力考核中，</w:t>
            </w:r>
            <w:r>
              <w:rPr>
                <w:rFonts w:hint="eastAsia" w:ascii="仿宋" w:hAnsi="仿宋" w:eastAsia="仿宋" w:cs="仿宋"/>
                <w:lang w:val="en-US" w:eastAsia="zh-CN"/>
              </w:rPr>
              <w:t>成绩在70分(含)以上的得3分，成绩在65分(含)以上得1分</w:t>
            </w:r>
            <w:r>
              <w:rPr>
                <w:rFonts w:hint="eastAsia" w:ascii="仿宋" w:hAnsi="仿宋" w:eastAsia="仿宋" w:cs="仿宋"/>
              </w:rPr>
              <w:t>；</w:t>
            </w:r>
          </w:p>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rPr>
              <w:t>（2）</w:t>
            </w:r>
            <w:r>
              <w:rPr>
                <w:rFonts w:hint="eastAsia" w:ascii="仿宋" w:hAnsi="仿宋" w:eastAsia="仿宋" w:cs="仿宋"/>
                <w:lang w:val="en-US" w:eastAsia="zh-CN"/>
              </w:rPr>
              <w:t>获得过网络安全及密码相关领域高级以上资质证书</w:t>
            </w:r>
            <w:r>
              <w:rPr>
                <w:rFonts w:hint="eastAsia" w:ascii="仿宋" w:hAnsi="仿宋" w:eastAsia="仿宋" w:cs="仿宋"/>
              </w:rPr>
              <w:t>，得</w:t>
            </w:r>
            <w:r>
              <w:rPr>
                <w:rFonts w:hint="eastAsia" w:ascii="仿宋" w:hAnsi="仿宋" w:eastAsia="仿宋" w:cs="仿宋"/>
                <w:lang w:val="en-US" w:eastAsia="zh-CN"/>
              </w:rPr>
              <w:t>3</w:t>
            </w:r>
            <w:r>
              <w:rPr>
                <w:rFonts w:hint="eastAsia" w:ascii="仿宋" w:hAnsi="仿宋" w:eastAsia="仿宋" w:cs="仿宋"/>
              </w:rPr>
              <w:t>分；</w:t>
            </w:r>
          </w:p>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rPr>
              <w:t>（3）具有网络安全能力认证（CCSC）/注册信息安全专业人员（CISP）/</w:t>
            </w:r>
            <w:r>
              <w:rPr>
                <w:rFonts w:hint="eastAsia" w:ascii="仿宋" w:hAnsi="仿宋" w:eastAsia="仿宋" w:cs="仿宋"/>
                <w:lang w:val="en-US" w:eastAsia="zh-CN"/>
              </w:rPr>
              <w:t>注册网络安全源代码审计专业人员（NSATP-SCA）</w:t>
            </w:r>
            <w:r>
              <w:rPr>
                <w:rFonts w:hint="eastAsia" w:ascii="仿宋" w:hAnsi="仿宋" w:eastAsia="仿宋" w:cs="仿宋"/>
              </w:rPr>
              <w:t xml:space="preserve">等证书，无CCSC证书该项不得分，上述条件每具备一项得2分，否则不得分； </w:t>
            </w:r>
          </w:p>
          <w:p>
            <w:pPr>
              <w:pStyle w:val="5"/>
              <w:keepNext w:val="0"/>
              <w:keepLines w:val="0"/>
              <w:pageBreakBefore w:val="0"/>
              <w:kinsoku/>
              <w:wordWrap/>
              <w:overflowPunct/>
              <w:topLinePunct w:val="0"/>
              <w:autoSpaceDE/>
              <w:autoSpaceDN/>
              <w:bidi w:val="0"/>
              <w:adjustRightInd/>
              <w:snapToGrid/>
              <w:spacing w:after="0"/>
              <w:rPr>
                <w:rFonts w:hint="eastAsia"/>
              </w:rPr>
            </w:pPr>
            <w:r>
              <w:rPr>
                <w:rFonts w:hint="eastAsia" w:ascii="仿宋" w:hAnsi="仿宋" w:eastAsia="仿宋" w:cs="仿宋"/>
              </w:rPr>
              <w:t>（提供</w:t>
            </w:r>
            <w:r>
              <w:rPr>
                <w:rFonts w:hint="eastAsia" w:ascii="仿宋" w:hAnsi="仿宋" w:eastAsia="仿宋" w:cs="仿宋"/>
                <w:szCs w:val="21"/>
              </w:rPr>
              <w:t>测评能力考核成绩单、</w:t>
            </w:r>
            <w:r>
              <w:rPr>
                <w:rFonts w:hint="eastAsia" w:ascii="仿宋" w:hAnsi="仿宋" w:eastAsia="仿宋" w:cs="仿宋"/>
              </w:rPr>
              <w:t>证书复印件及</w:t>
            </w:r>
            <w:r>
              <w:rPr>
                <w:rFonts w:hint="eastAsia" w:ascii="仿宋" w:hAnsi="仿宋" w:eastAsia="仿宋" w:cs="仿宋"/>
                <w:lang w:val="en-US" w:eastAsia="zh-CN"/>
              </w:rPr>
              <w:t>近</w:t>
            </w:r>
            <w:r>
              <w:rPr>
                <w:rFonts w:hint="eastAsia" w:ascii="仿宋" w:hAnsi="仿宋" w:eastAsia="仿宋" w:cs="仿宋"/>
              </w:rPr>
              <w:t>三个月为其缴纳社保证明材料复印件，否则不得分）</w:t>
            </w:r>
          </w:p>
        </w:tc>
        <w:tc>
          <w:tcPr>
            <w:tcW w:w="1080" w:type="dxa"/>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1080" w:type="dxa"/>
            <w:vMerge w:val="continue"/>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1080" w:type="dxa"/>
            <w:vMerge w:val="continue"/>
            <w:tcBorders>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仿宋" w:hAnsi="仿宋" w:eastAsia="仿宋" w:cs="仿宋"/>
                <w:i w:val="0"/>
                <w:iCs w:val="0"/>
                <w:color w:val="000000"/>
                <w:sz w:val="21"/>
                <w:szCs w:val="21"/>
                <w:u w:val="none"/>
              </w:rPr>
            </w:pPr>
          </w:p>
        </w:tc>
        <w:tc>
          <w:tcPr>
            <w:tcW w:w="5260" w:type="dxa"/>
            <w:tcBorders>
              <w:top w:val="single" w:color="auto" w:sz="4" w:space="0"/>
              <w:left w:val="single" w:color="auto" w:sz="4" w:space="0"/>
              <w:bottom w:val="nil"/>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技术人员要求（不含项目负责人）：</w:t>
            </w:r>
          </w:p>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rPr>
              <w:t>在通过国家密码管理局组织的商用密码应用安全性评估人员测评能力考核的基础上（须提供能力考核通过证书扫描件），具有下列相应证书的：</w:t>
            </w:r>
          </w:p>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获得过网络安全及密码相关领域高级以上资质证书</w:t>
            </w:r>
            <w:r>
              <w:rPr>
                <w:rFonts w:hint="eastAsia" w:ascii="仿宋" w:hAnsi="仿宋" w:eastAsia="仿宋" w:cs="仿宋"/>
              </w:rPr>
              <w:t>，有1人得</w:t>
            </w:r>
            <w:r>
              <w:rPr>
                <w:rFonts w:hint="eastAsia" w:ascii="仿宋" w:hAnsi="仿宋" w:eastAsia="仿宋" w:cs="仿宋"/>
                <w:lang w:val="en-US" w:eastAsia="zh-CN"/>
              </w:rPr>
              <w:t>2</w:t>
            </w:r>
            <w:r>
              <w:rPr>
                <w:rFonts w:hint="eastAsia" w:ascii="仿宋" w:hAnsi="仿宋" w:eastAsia="仿宋" w:cs="仿宋"/>
              </w:rPr>
              <w:t>分，最高得</w:t>
            </w:r>
            <w:r>
              <w:rPr>
                <w:rFonts w:hint="eastAsia" w:ascii="仿宋" w:hAnsi="仿宋" w:eastAsia="仿宋" w:cs="仿宋"/>
                <w:lang w:val="en-US" w:eastAsia="zh-CN"/>
              </w:rPr>
              <w:t>6</w:t>
            </w:r>
            <w:r>
              <w:rPr>
                <w:rFonts w:hint="eastAsia" w:ascii="仿宋" w:hAnsi="仿宋" w:eastAsia="仿宋" w:cs="仿宋"/>
              </w:rPr>
              <w:t>分；</w:t>
            </w:r>
          </w:p>
          <w:p>
            <w:pPr>
              <w:pStyle w:val="5"/>
              <w:keepNext w:val="0"/>
              <w:keepLines w:val="0"/>
              <w:pageBreakBefore w:val="0"/>
              <w:kinsoku/>
              <w:wordWrap/>
              <w:overflowPunct/>
              <w:topLinePunct w:val="0"/>
              <w:autoSpaceDE/>
              <w:autoSpaceDN/>
              <w:bidi w:val="0"/>
              <w:adjustRightInd/>
              <w:snapToGrid/>
              <w:spacing w:after="0"/>
              <w:rPr>
                <w:rFonts w:hint="eastAsia" w:ascii="仿宋" w:hAnsi="仿宋" w:eastAsia="仿宋" w:cs="仿宋"/>
              </w:rPr>
            </w:pPr>
            <w:r>
              <w:rPr>
                <w:rFonts w:hint="eastAsia" w:ascii="仿宋" w:hAnsi="仿宋" w:eastAsia="仿宋" w:cs="仿宋"/>
              </w:rPr>
              <w:t>（2）具有</w:t>
            </w:r>
            <w:r>
              <w:rPr>
                <w:rFonts w:hint="eastAsia" w:ascii="仿宋" w:hAnsi="仿宋" w:eastAsia="仿宋" w:cs="仿宋"/>
                <w:lang w:val="en-US" w:eastAsia="zh-CN"/>
              </w:rPr>
              <w:t>注册信息安全专业人员（CISP）和国家重要信息系统保护人员（CIIP）</w:t>
            </w:r>
            <w:r>
              <w:rPr>
                <w:rFonts w:hint="eastAsia" w:ascii="仿宋" w:hAnsi="仿宋" w:eastAsia="仿宋" w:cs="仿宋"/>
              </w:rPr>
              <w:t>，每有1人得1分，最高得4分。</w:t>
            </w:r>
          </w:p>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r>
              <w:rPr>
                <w:rStyle w:val="27"/>
                <w:rFonts w:hint="eastAsia" w:ascii="仿宋" w:hAnsi="仿宋" w:eastAsia="仿宋" w:cs="仿宋"/>
                <w:lang w:val="en-US" w:eastAsia="zh-CN" w:bidi="ar"/>
              </w:rPr>
              <w:t>3</w:t>
            </w:r>
            <w:r>
              <w:rPr>
                <w:rStyle w:val="28"/>
                <w:rFonts w:ascii="仿宋" w:hAnsi="仿宋" w:eastAsia="仿宋" w:cs="仿宋"/>
                <w:lang w:val="en-US" w:eastAsia="zh-CN" w:bidi="ar"/>
              </w:rPr>
              <w:t>）</w:t>
            </w:r>
            <w:r>
              <w:rPr>
                <w:rStyle w:val="28"/>
                <w:rFonts w:hint="eastAsia" w:ascii="仿宋" w:hAnsi="仿宋" w:eastAsia="仿宋" w:cs="仿宋"/>
                <w:lang w:val="en-US" w:eastAsia="zh-CN" w:bidi="ar"/>
              </w:rPr>
              <w:t>具有信息系统审计师认证证书的，每有1人得1分，最高得3分</w:t>
            </w:r>
            <w:r>
              <w:rPr>
                <w:rStyle w:val="28"/>
                <w:rFonts w:ascii="仿宋" w:hAnsi="仿宋" w:eastAsia="仿宋" w:cs="仿宋"/>
                <w:lang w:val="en-US" w:eastAsia="zh-CN" w:bidi="ar"/>
              </w:rPr>
              <w:t>。</w:t>
            </w:r>
          </w:p>
          <w:p>
            <w:pPr>
              <w:pStyle w:val="5"/>
              <w:keepNext w:val="0"/>
              <w:keepLines w:val="0"/>
              <w:pageBreakBefore w:val="0"/>
              <w:kinsoku/>
              <w:wordWrap/>
              <w:overflowPunct/>
              <w:topLinePunct w:val="0"/>
              <w:autoSpaceDE/>
              <w:autoSpaceDN/>
              <w:bidi w:val="0"/>
              <w:adjustRightInd/>
              <w:snapToGrid/>
              <w:spacing w:after="0"/>
              <w:rPr>
                <w:rFonts w:hint="eastAsia"/>
              </w:rPr>
            </w:pPr>
            <w:r>
              <w:rPr>
                <w:rFonts w:hint="eastAsia" w:ascii="仿宋" w:hAnsi="仿宋" w:eastAsia="仿宋" w:cs="仿宋"/>
                <w:i w:val="0"/>
                <w:iCs w:val="0"/>
                <w:color w:val="000000"/>
                <w:kern w:val="0"/>
                <w:sz w:val="21"/>
                <w:szCs w:val="21"/>
                <w:u w:val="none"/>
                <w:lang w:val="en-US" w:eastAsia="zh-CN" w:bidi="ar"/>
              </w:rPr>
              <w:t>（供应商需提供近三个月为以上人员缴纳社保的证明材料、相关有效证书、商用密码应用安全性评估人员测评能力考核成绩单证明材料扫描件，并加盖供应商公章，未按要求提供不得分）</w:t>
            </w:r>
          </w:p>
        </w:tc>
        <w:tc>
          <w:tcPr>
            <w:tcW w:w="1080" w:type="dxa"/>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5" w:hRule="atLeast"/>
        </w:trPr>
        <w:tc>
          <w:tcPr>
            <w:tcW w:w="10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1080" w:type="dxa"/>
            <w:tcBorders>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服务案例（6分）</w:t>
            </w:r>
          </w:p>
        </w:tc>
        <w:tc>
          <w:tcPr>
            <w:tcW w:w="5260" w:type="dxa"/>
            <w:tcBorders>
              <w:top w:val="single" w:color="auto" w:sz="4" w:space="0"/>
              <w:left w:val="single" w:color="auto" w:sz="4" w:space="0"/>
              <w:bottom w:val="nil"/>
              <w:right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both"/>
              <w:textAlignment w:val="bottom"/>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（1）供应商具有2年(含)以上密码测评项目经验的(根据案例合同时间判断)，得2分;1年（含）以上2以下的，得1分；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（2）供应商承担过省级密码管理部门委托的商用密码应用安全性评估项目的得2分，市级密码管理部门委托的商用密码应用安全性评估项目得1分，否则不得分；</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（3）供应商提供自2021年1月1日以来为省级（含）以上单位提供密码测评项目的相关案例（案例主要标的物至少包含 “密码应用安全性评估”），提供一个案例得1分，最高得2分，未按要求提供的不得分。</w:t>
            </w:r>
          </w:p>
          <w:p>
            <w:pPr>
              <w:pStyle w:val="5"/>
              <w:keepNext w:val="0"/>
              <w:keepLines w:val="0"/>
              <w:pageBreakBefore w:val="0"/>
              <w:kinsoku/>
              <w:wordWrap/>
              <w:overflowPunct/>
              <w:topLinePunct w:val="0"/>
              <w:autoSpaceDE/>
              <w:autoSpaceDN/>
              <w:bidi w:val="0"/>
              <w:adjustRightInd/>
              <w:snapToGrid/>
              <w:spacing w:after="0"/>
              <w:rPr>
                <w:rFonts w:hint="eastAsia"/>
              </w:rPr>
            </w:pPr>
            <w:r>
              <w:rPr>
                <w:rFonts w:hint="eastAsia" w:ascii="仿宋" w:hAnsi="仿宋" w:eastAsia="仿宋" w:cs="仿宋"/>
                <w:i w:val="0"/>
                <w:iCs w:val="0"/>
                <w:color w:val="000000"/>
                <w:kern w:val="0"/>
                <w:sz w:val="21"/>
                <w:szCs w:val="21"/>
                <w:u w:val="none"/>
                <w:lang w:val="en-US" w:eastAsia="zh-CN" w:bidi="ar"/>
              </w:rPr>
              <w:t>（供应商应提供有效合同扫描件，并加盖供应商公章，同一个案例不重复计分，未按要求提供不得分）</w:t>
            </w:r>
          </w:p>
        </w:tc>
        <w:tc>
          <w:tcPr>
            <w:tcW w:w="1080" w:type="dxa"/>
            <w:tcBorders>
              <w:lef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420" w:type="dxa"/>
            <w:gridSpan w:val="3"/>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w:t>
            </w:r>
          </w:p>
        </w:tc>
        <w:tc>
          <w:tcPr>
            <w:tcW w:w="108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jc w:val="center"/>
              <w:textAlignment w:val="bottom"/>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80</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textAlignment w:val="auto"/>
        <w:rPr>
          <w:rFonts w:hint="eastAsia" w:ascii="方正仿宋_GBK" w:hAnsi="方正仿宋_GBK" w:eastAsia="方正仿宋_GBK" w:cs="方正仿宋_GBK"/>
          <w:b/>
          <w:color w:val="000000" w:themeColor="text1"/>
          <w:sz w:val="28"/>
          <w:szCs w:val="28"/>
          <w:lang w:val="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lang w:val="zh-CN"/>
          <w14:textFill>
            <w14:solidFill>
              <w14:schemeClr w14:val="tx1"/>
            </w14:solidFill>
          </w14:textFill>
        </w:rPr>
        <w:t>价格分</w:t>
      </w:r>
      <w:r>
        <w:rPr>
          <w:rFonts w:hint="eastAsia" w:ascii="方正仿宋_GBK" w:hAnsi="方正仿宋_GBK" w:eastAsia="方正仿宋_GBK" w:cs="方正仿宋_GBK"/>
          <w:b/>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0</w:t>
      </w:r>
      <w:r>
        <w:rPr>
          <w:rFonts w:hint="eastAsia" w:ascii="方正仿宋_GBK" w:hAnsi="方正仿宋_GBK" w:eastAsia="方正仿宋_GBK" w:cs="方正仿宋_GBK"/>
          <w:color w:val="000000" w:themeColor="text1"/>
          <w:sz w:val="28"/>
          <w:szCs w:val="28"/>
          <w:lang w:val="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价格标评标基准分为</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0分，满足招标文件要求且投标价格最低的投标报价为评标基准价，其价格分为满分（</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0分），其他投标人的价格分统一按照下列公式计算：</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投标报价得分=(投标基准价／最后投标报价)×</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0×100%。</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方正仿宋_GBK" w:hAnsi="方正仿宋_GBK" w:eastAsia="方正仿宋_GBK" w:cs="方正仿宋_GBK"/>
          <w:sz w:val="28"/>
          <w:szCs w:val="28"/>
        </w:rPr>
      </w:pPr>
    </w:p>
    <w:p>
      <w:pPr>
        <w:pStyle w:val="14"/>
        <w:keepNext w:val="0"/>
        <w:keepLines w:val="0"/>
        <w:pageBreakBefore w:val="0"/>
        <w:widowControl w:val="0"/>
        <w:kinsoku/>
        <w:wordWrap/>
        <w:overflowPunct/>
        <w:topLinePunct w:val="0"/>
        <w:bidi w:val="0"/>
        <w:spacing w:after="0" w:line="560" w:lineRule="exact"/>
        <w:ind w:left="0" w:leftChars="0" w:firstLine="0" w:firstLineChars="0"/>
        <w:textAlignment w:val="auto"/>
        <w:rPr>
          <w:rFonts w:hint="eastAsia" w:ascii="方正仿宋_GBK" w:hAnsi="方正仿宋_GBK" w:eastAsia="方正仿宋_GBK" w:cs="方正仿宋_GBK"/>
          <w:color w:val="000000" w:themeColor="text1"/>
          <w:lang w:val="en-US" w:eastAsia="zh-CN"/>
          <w14:textFill>
            <w14:solidFill>
              <w14:schemeClr w14:val="tx1"/>
            </w14:solidFill>
          </w14:textFill>
        </w:rPr>
      </w:pPr>
    </w:p>
    <w:p>
      <w:pPr>
        <w:pStyle w:val="25"/>
        <w:keepNext w:val="0"/>
        <w:keepLines w:val="0"/>
        <w:pageBreakBefore w:val="0"/>
        <w:widowControl w:val="0"/>
        <w:tabs>
          <w:tab w:val="left" w:pos="5325"/>
        </w:tabs>
        <w:kinsoku/>
        <w:wordWrap/>
        <w:overflowPunct/>
        <w:topLinePunct w:val="0"/>
        <w:bidi w:val="0"/>
        <w:snapToGrid w:val="0"/>
        <w:spacing w:line="560" w:lineRule="exact"/>
        <w:ind w:left="641" w:firstLine="0" w:firstLineChars="0"/>
        <w:contextualSpacing/>
        <w:textAlignment w:val="auto"/>
        <w:rPr>
          <w:rFonts w:hint="eastAsia" w:ascii="黑体" w:hAnsi="黑体" w:eastAsia="黑体" w:cs="Times New Roman"/>
          <w:sz w:val="32"/>
          <w:szCs w:val="32"/>
        </w:rPr>
      </w:pPr>
    </w:p>
    <w:p>
      <w:pPr>
        <w:pStyle w:val="14"/>
        <w:keepNext w:val="0"/>
        <w:keepLines w:val="0"/>
        <w:pageBreakBefore w:val="0"/>
        <w:widowControl w:val="0"/>
        <w:kinsoku/>
        <w:wordWrap/>
        <w:overflowPunct/>
        <w:topLinePunct w:val="0"/>
        <w:bidi w:val="0"/>
        <w:spacing w:after="0" w:line="560" w:lineRule="exact"/>
        <w:ind w:left="0" w:leftChars="0" w:firstLine="0" w:firstLineChars="0"/>
        <w:textAlignment w:val="auto"/>
        <w:sectPr>
          <w:footerReference r:id="rId3" w:type="default"/>
          <w:pgSz w:w="11906" w:h="16838"/>
          <w:pgMar w:top="1560" w:right="1800" w:bottom="1440" w:left="1800" w:header="851" w:footer="657" w:gutter="0"/>
          <w:pgNumType w:fmt="decimal" w:start="1"/>
          <w:cols w:space="425" w:num="1"/>
          <w:docGrid w:type="lines" w:linePitch="312" w:charSpace="0"/>
        </w:sectPr>
      </w:pPr>
    </w:p>
    <w:p>
      <w:pPr>
        <w:keepNext w:val="0"/>
        <w:keepLines w:val="0"/>
        <w:pageBreakBefore w:val="0"/>
        <w:wordWrap/>
        <w:overflowPunct/>
        <w:bidi w:val="0"/>
        <w:spacing w:line="240" w:lineRule="auto"/>
        <w:rPr>
          <w:rFonts w:ascii="宋体" w:hAnsi="Calibri" w:eastAsia="宋体" w:cs="Times New Roman"/>
          <w:b/>
          <w:bCs/>
          <w:sz w:val="24"/>
          <w:szCs w:val="24"/>
        </w:rPr>
      </w:pPr>
      <w:r>
        <w:rPr>
          <w:rFonts w:ascii="宋体"/>
          <w:b/>
          <w:bCs/>
          <w:sz w:val="24"/>
          <w:szCs w:val="24"/>
        </w:rPr>
        <w:t>附件</w:t>
      </w:r>
      <w:r>
        <w:rPr>
          <w:rFonts w:hint="eastAsia" w:ascii="宋体"/>
          <w:b/>
          <w:bCs/>
          <w:sz w:val="24"/>
          <w:szCs w:val="24"/>
          <w:lang w:val="en-US" w:eastAsia="zh-CN"/>
        </w:rPr>
        <w:t>1</w:t>
      </w:r>
      <w:r>
        <w:rPr>
          <w:rFonts w:hint="eastAsia" w:ascii="宋体"/>
          <w:b/>
          <w:bCs/>
          <w:sz w:val="24"/>
          <w:szCs w:val="24"/>
        </w:rPr>
        <w:t>：</w:t>
      </w:r>
    </w:p>
    <w:p>
      <w:pPr>
        <w:keepNext w:val="0"/>
        <w:keepLines w:val="0"/>
        <w:pageBreakBefore w:val="0"/>
        <w:wordWrap/>
        <w:overflowPunct/>
        <w:bidi w:val="0"/>
        <w:spacing w:line="240" w:lineRule="auto"/>
        <w:rPr>
          <w:rFonts w:ascii="宋体" w:hAnsi="Calibri" w:eastAsia="宋体" w:cs="Times New Roman"/>
          <w:sz w:val="24"/>
        </w:rPr>
      </w:pPr>
    </w:p>
    <w:p>
      <w:pPr>
        <w:keepNext w:val="0"/>
        <w:keepLines w:val="0"/>
        <w:pageBreakBefore w:val="0"/>
        <w:wordWrap/>
        <w:overflowPunct/>
        <w:bidi w:val="0"/>
        <w:spacing w:line="240" w:lineRule="auto"/>
        <w:jc w:val="center"/>
        <w:rPr>
          <w:rFonts w:hint="eastAsia" w:ascii="宋体" w:hAnsi="宋体" w:eastAsia="宋体" w:cs="Times New Roman"/>
          <w:b/>
          <w:bCs/>
          <w:sz w:val="36"/>
          <w:szCs w:val="36"/>
        </w:rPr>
      </w:pPr>
      <w:r>
        <w:rPr>
          <w:rFonts w:hint="eastAsia" w:ascii="宋体" w:hAnsi="宋体" w:eastAsia="宋体" w:cs="Times New Roman"/>
          <w:b/>
          <w:bCs/>
          <w:sz w:val="44"/>
          <w:szCs w:val="44"/>
          <w:lang w:val="zh-CN" w:eastAsia="zh-CN"/>
        </w:rPr>
        <w:t>投标承诺函</w:t>
      </w:r>
    </w:p>
    <w:p>
      <w:pPr>
        <w:keepNext w:val="0"/>
        <w:keepLines w:val="0"/>
        <w:pageBreakBefore w:val="0"/>
        <w:widowControl w:val="0"/>
        <w:kinsoku/>
        <w:wordWrap/>
        <w:overflowPunct/>
        <w:topLinePunct w:val="0"/>
        <w:autoSpaceDE/>
        <w:autoSpaceDN/>
        <w:bidi w:val="0"/>
        <w:adjustRightInd/>
        <w:spacing w:line="52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南通市行政审批局：</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（供应商名称）郑重承诺：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20" w:lineRule="exact"/>
        <w:ind w:firstLine="56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贵方组织的南通市行政审批局网络信息系统商用密码应用安全性评估服务项目</w:t>
      </w:r>
      <w:r>
        <w:rPr>
          <w:rFonts w:hint="eastAsia" w:ascii="Times New Roman" w:hAnsi="Times New Roman" w:eastAsia="方正仿宋_GBK" w:cs="Times New Roman"/>
          <w:sz w:val="32"/>
          <w:szCs w:val="32"/>
          <w:lang w:val="en-US" w:eastAsia="zh-CN"/>
        </w:rPr>
        <w:t>，我</w:t>
      </w:r>
      <w:r>
        <w:rPr>
          <w:rFonts w:hint="eastAsia" w:ascii="方正仿宋_GBK" w:hAnsi="方正仿宋_GBK" w:eastAsia="方正仿宋_GBK" w:cs="方正仿宋_GBK"/>
          <w:sz w:val="32"/>
          <w:szCs w:val="32"/>
        </w:rPr>
        <w:t>单位所提交的材料均为真实的，且能提供满足供应要求的服务内容。</w:t>
      </w:r>
    </w:p>
    <w:p>
      <w:pPr>
        <w:pStyle w:val="14"/>
        <w:keepNext w:val="0"/>
        <w:keepLines w:val="0"/>
        <w:pageBreakBefore w:val="0"/>
        <w:wordWrap/>
        <w:overflowPunct/>
        <w:bidi w:val="0"/>
        <w:spacing w:after="0" w:line="240" w:lineRule="auto"/>
        <w:rPr>
          <w:rFonts w:hint="eastAsia" w:ascii="方正仿宋_GBK" w:hAnsi="方正仿宋_GBK" w:eastAsia="方正仿宋_GBK" w:cs="方正仿宋_GBK"/>
          <w:sz w:val="32"/>
          <w:szCs w:val="32"/>
        </w:rPr>
      </w:pPr>
    </w:p>
    <w:p>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rPr>
      </w:pPr>
    </w:p>
    <w:p>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rPr>
      </w:pPr>
    </w:p>
    <w:p>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承诺人：（公章）</w:t>
      </w:r>
    </w:p>
    <w:p>
      <w:pPr>
        <w:keepNext w:val="0"/>
        <w:keepLines w:val="0"/>
        <w:pageBreakBefore w:val="0"/>
        <w:wordWrap/>
        <w:overflowPunct/>
        <w:bidi w:val="0"/>
        <w:spacing w:line="240" w:lineRule="auto"/>
        <w:ind w:firstLine="56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14"/>
        <w:rPr>
          <w:rFonts w:hint="eastAsia" w:ascii="方正仿宋_GBK" w:hAnsi="方正仿宋_GBK" w:eastAsia="方正仿宋_GBK" w:cs="方正仿宋_GBK"/>
          <w:sz w:val="32"/>
          <w:szCs w:val="32"/>
        </w:rPr>
      </w:pPr>
    </w:p>
    <w:p>
      <w:pPr>
        <w:pStyle w:val="14"/>
        <w:rPr>
          <w:rFonts w:hint="eastAsia" w:ascii="方正仿宋_GBK" w:hAnsi="方正仿宋_GBK" w:eastAsia="方正仿宋_GBK" w:cs="方正仿宋_GBK"/>
          <w:sz w:val="32"/>
          <w:szCs w:val="32"/>
        </w:rPr>
      </w:pPr>
    </w:p>
    <w:p>
      <w:pPr>
        <w:pStyle w:val="14"/>
        <w:rPr>
          <w:rFonts w:hint="eastAsia" w:ascii="方正仿宋_GBK" w:hAnsi="方正仿宋_GBK" w:eastAsia="方正仿宋_GBK" w:cs="方正仿宋_GBK"/>
          <w:sz w:val="32"/>
          <w:szCs w:val="32"/>
        </w:rPr>
      </w:pPr>
    </w:p>
    <w:p>
      <w:pPr>
        <w:pStyle w:val="14"/>
        <w:rPr>
          <w:rFonts w:hint="eastAsia" w:ascii="方正仿宋_GBK" w:hAnsi="方正仿宋_GBK" w:eastAsia="方正仿宋_GBK" w:cs="方正仿宋_GBK"/>
          <w:sz w:val="32"/>
          <w:szCs w:val="32"/>
        </w:rPr>
      </w:pPr>
    </w:p>
    <w:p>
      <w:pPr>
        <w:pStyle w:val="14"/>
        <w:rPr>
          <w:rFonts w:hint="eastAsia" w:ascii="方正仿宋_GBK" w:hAnsi="方正仿宋_GBK" w:eastAsia="方正仿宋_GBK" w:cs="方正仿宋_GBK"/>
          <w:sz w:val="32"/>
          <w:szCs w:val="32"/>
        </w:rPr>
      </w:pPr>
    </w:p>
    <w:p>
      <w:pPr>
        <w:keepNext w:val="0"/>
        <w:keepLines w:val="0"/>
        <w:pageBreakBefore w:val="0"/>
        <w:wordWrap/>
        <w:overflowPunct/>
        <w:bidi w:val="0"/>
        <w:spacing w:line="240" w:lineRule="auto"/>
        <w:rPr>
          <w:rFonts w:ascii="宋体"/>
          <w:b/>
          <w:bCs/>
          <w:sz w:val="24"/>
          <w:szCs w:val="24"/>
        </w:rPr>
        <w:sectPr>
          <w:pgSz w:w="11906" w:h="16838"/>
          <w:pgMar w:top="1560" w:right="1800" w:bottom="1440" w:left="1800" w:header="851" w:footer="657" w:gutter="0"/>
          <w:pgNumType w:fmt="decimal"/>
          <w:cols w:space="425" w:num="1"/>
          <w:docGrid w:type="lines" w:linePitch="312" w:charSpace="0"/>
        </w:sectPr>
      </w:pPr>
    </w:p>
    <w:p>
      <w:pPr>
        <w:keepNext w:val="0"/>
        <w:keepLines w:val="0"/>
        <w:pageBreakBefore w:val="0"/>
        <w:wordWrap/>
        <w:overflowPunct/>
        <w:bidi w:val="0"/>
        <w:spacing w:line="240" w:lineRule="auto"/>
        <w:rPr>
          <w:rFonts w:hint="eastAsia" w:ascii="宋体"/>
          <w:b/>
          <w:bCs/>
          <w:sz w:val="24"/>
          <w:szCs w:val="24"/>
        </w:rPr>
      </w:pPr>
      <w:r>
        <w:rPr>
          <w:rFonts w:ascii="宋体"/>
          <w:b/>
          <w:bCs/>
          <w:sz w:val="24"/>
          <w:szCs w:val="24"/>
        </w:rPr>
        <w:t>附件</w:t>
      </w:r>
      <w:r>
        <w:rPr>
          <w:rFonts w:hint="eastAsia" w:ascii="宋体"/>
          <w:b/>
          <w:bCs/>
          <w:sz w:val="24"/>
          <w:szCs w:val="24"/>
          <w:lang w:val="en-US" w:eastAsia="zh-CN"/>
        </w:rPr>
        <w:t>2</w:t>
      </w:r>
      <w:r>
        <w:rPr>
          <w:rFonts w:hint="eastAsia" w:ascii="宋体"/>
          <w:b/>
          <w:bCs/>
          <w:sz w:val="24"/>
          <w:szCs w:val="24"/>
        </w:rPr>
        <w:t>：</w:t>
      </w:r>
    </w:p>
    <w:p>
      <w:pPr>
        <w:keepNext w:val="0"/>
        <w:keepLines w:val="0"/>
        <w:pageBreakBefore w:val="0"/>
        <w:widowControl w:val="0"/>
        <w:kinsoku/>
        <w:wordWrap/>
        <w:overflowPunct/>
        <w:topLinePunct w:val="0"/>
        <w:bidi w:val="0"/>
        <w:snapToGrid w:val="0"/>
        <w:spacing w:line="240" w:lineRule="auto"/>
        <w:jc w:val="center"/>
        <w:textAlignment w:val="auto"/>
        <w:rPr>
          <w:rFonts w:hint="eastAsia" w:ascii="方正小标宋_GBK" w:hAnsi="方正小标宋_GBK" w:eastAsia="方正小标宋_GBK" w:cs="方正小标宋_GBK"/>
          <w:kern w:val="2"/>
          <w:sz w:val="44"/>
          <w:szCs w:val="44"/>
          <w:lang w:val="zh-CN" w:eastAsia="zh-CN" w:bidi="ar-SA"/>
        </w:rPr>
      </w:pPr>
      <w:r>
        <w:rPr>
          <w:rFonts w:hint="eastAsia" w:ascii="方正小标宋_GBK" w:hAnsi="方正小标宋_GBK" w:eastAsia="方正小标宋_GBK" w:cs="方正小标宋_GBK"/>
          <w:kern w:val="2"/>
          <w:sz w:val="44"/>
          <w:szCs w:val="44"/>
          <w:lang w:val="zh-CN" w:eastAsia="zh-CN" w:bidi="ar-SA"/>
        </w:rPr>
        <w:t>磋商响应报价表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rPr>
        <w:t>项目名称：</w:t>
      </w:r>
    </w:p>
    <w:tbl>
      <w:tblPr>
        <w:tblStyle w:val="15"/>
        <w:tblW w:w="8291" w:type="dxa"/>
        <w:tblCellSpacing w:w="0"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6"/>
        <w:gridCol w:w="1290"/>
        <w:gridCol w:w="4815"/>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报价轮次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i w:val="0"/>
                <w:iCs w:val="0"/>
                <w:caps w:val="0"/>
                <w:color w:val="333333"/>
                <w:spacing w:val="0"/>
                <w:sz w:val="28"/>
                <w:szCs w:val="28"/>
                <w:lang w:val="en-US" w:eastAsia="zh-CN"/>
              </w:rPr>
              <w:t>投标</w:t>
            </w:r>
            <w:r>
              <w:rPr>
                <w:rFonts w:hint="eastAsia" w:ascii="方正仿宋_GBK" w:hAnsi="方正仿宋_GBK" w:eastAsia="方正仿宋_GBK" w:cs="方正仿宋_GBK"/>
                <w:i w:val="0"/>
                <w:iCs w:val="0"/>
                <w:caps w:val="0"/>
                <w:color w:val="333333"/>
                <w:spacing w:val="0"/>
                <w:sz w:val="28"/>
                <w:szCs w:val="28"/>
              </w:rPr>
              <w:t>人</w:t>
            </w:r>
            <w:r>
              <w:rPr>
                <w:rFonts w:hint="eastAsia" w:ascii="方正仿宋_GBK" w:hAnsi="方正仿宋_GBK" w:eastAsia="方正仿宋_GBK" w:cs="方正仿宋_GBK"/>
                <w:i w:val="0"/>
                <w:iCs w:val="0"/>
                <w:caps w:val="0"/>
                <w:color w:val="333333"/>
                <w:spacing w:val="0"/>
                <w:sz w:val="28"/>
                <w:szCs w:val="28"/>
                <w:lang w:val="en-US" w:eastAsia="zh-CN"/>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首次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大写（人民币）：</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left"/>
              <w:rPr>
                <w:rFonts w:hint="eastAsia" w:ascii="方正仿宋_GBK" w:hAnsi="方正仿宋_GBK" w:eastAsia="方正仿宋_GBK" w:cs="方正仿宋_GBK"/>
                <w:i w:val="0"/>
                <w:iCs w:val="0"/>
                <w:caps w:val="0"/>
                <w:color w:val="333333"/>
                <w:spacing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第二次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大写（人民币）：</w:t>
            </w:r>
          </w:p>
          <w:p>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75" w:afterAutospacing="0" w:line="525" w:lineRule="atLeast"/>
              <w:ind w:right="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0"/>
                <w:sz w:val="28"/>
                <w:szCs w:val="28"/>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keepNext w:val="0"/>
              <w:keepLines w:val="0"/>
              <w:widowControl/>
              <w:suppressLineNumbers w:val="0"/>
              <w:wordWrap w:val="0"/>
              <w:spacing w:before="0" w:beforeAutospacing="0" w:after="0" w:afterAutospacing="0"/>
              <w:ind w:left="0" w:right="0" w:firstLine="0"/>
              <w:jc w:val="left"/>
              <w:rPr>
                <w:rFonts w:hint="eastAsia" w:ascii="方正仿宋_GBK" w:hAnsi="方正仿宋_GBK" w:eastAsia="方正仿宋_GBK" w:cs="方正仿宋_GBK"/>
                <w:i w:val="0"/>
                <w:iCs w:val="0"/>
                <w:caps w:val="0"/>
                <w:color w:val="333333"/>
                <w:spacing w:val="0"/>
                <w:sz w:val="28"/>
                <w:szCs w:val="28"/>
              </w:rPr>
            </w:pP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方正仿宋_GBK" w:hAnsi="方正仿宋_GBK" w:eastAsia="方正仿宋_GBK" w:cs="方正仿宋_GBK"/>
          <w:i w:val="0"/>
          <w:iCs w:val="0"/>
          <w:caps w:val="0"/>
          <w:color w:val="333333"/>
          <w:spacing w:val="0"/>
          <w:sz w:val="28"/>
          <w:szCs w:val="28"/>
          <w:shd w:val="clear" w:fill="FFFFFF"/>
          <w:lang w:val="en-US" w:eastAsia="zh-CN"/>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方正仿宋_GBK" w:hAnsi="方正仿宋_GBK" w:eastAsia="方正仿宋_GBK" w:cs="方正仿宋_GBK"/>
          <w:i w:val="0"/>
          <w:iCs w:val="0"/>
          <w:caps w:val="0"/>
          <w:color w:val="333333"/>
          <w:spacing w:val="0"/>
          <w:sz w:val="28"/>
          <w:szCs w:val="28"/>
        </w:rPr>
      </w:pPr>
      <w:r>
        <w:rPr>
          <w:rFonts w:hint="eastAsia" w:ascii="方正仿宋_GBK" w:hAnsi="方正仿宋_GBK" w:eastAsia="方正仿宋_GBK" w:cs="方正仿宋_GBK"/>
          <w:i w:val="0"/>
          <w:iCs w:val="0"/>
          <w:caps w:val="0"/>
          <w:color w:val="333333"/>
          <w:spacing w:val="0"/>
          <w:sz w:val="28"/>
          <w:szCs w:val="28"/>
          <w:shd w:val="clear" w:fill="FFFFFF"/>
          <w:lang w:val="en-US" w:eastAsia="zh-CN"/>
        </w:rPr>
        <w:t>投标单位</w:t>
      </w:r>
      <w:r>
        <w:rPr>
          <w:rFonts w:hint="eastAsia" w:ascii="方正仿宋_GBK" w:hAnsi="方正仿宋_GBK" w:eastAsia="方正仿宋_GBK" w:cs="方正仿宋_GBK"/>
          <w:i w:val="0"/>
          <w:iCs w:val="0"/>
          <w:caps w:val="0"/>
          <w:color w:val="333333"/>
          <w:spacing w:val="0"/>
          <w:sz w:val="28"/>
          <w:szCs w:val="28"/>
          <w:shd w:val="clear" w:fill="FFFFFF"/>
        </w:rPr>
        <w:t>：（盖章）</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rPr>
      </w:pPr>
      <w:r>
        <w:rPr>
          <w:rFonts w:hint="eastAsia" w:ascii="方正仿宋_GBK" w:hAnsi="方正仿宋_GBK" w:eastAsia="方正仿宋_GBK" w:cs="方正仿宋_GBK"/>
          <w:i w:val="0"/>
          <w:iCs w:val="0"/>
          <w:caps w:val="0"/>
          <w:color w:val="333333"/>
          <w:spacing w:val="0"/>
          <w:sz w:val="28"/>
          <w:szCs w:val="28"/>
          <w:shd w:val="clear" w:fill="FFFFFF"/>
        </w:rPr>
        <w:t>日</w:t>
      </w:r>
      <w:r>
        <w:rPr>
          <w:rFonts w:hint="eastAsia" w:ascii="方正仿宋_GBK" w:hAnsi="方正仿宋_GBK" w:eastAsia="方正仿宋_GBK" w:cs="方正仿宋_GBK"/>
          <w:i w:val="0"/>
          <w:iCs w:val="0"/>
          <w:caps w:val="0"/>
          <w:color w:val="333333"/>
          <w:spacing w:val="0"/>
          <w:sz w:val="28"/>
          <w:szCs w:val="28"/>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28"/>
          <w:szCs w:val="28"/>
          <w:shd w:val="clear" w:fill="FFFFFF"/>
        </w:rPr>
        <w:t>期：</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25" w:lineRule="atLeast"/>
        <w:ind w:left="0" w:right="0" w:firstLine="420"/>
        <w:jc w:val="left"/>
        <w:rPr>
          <w:rFonts w:hint="default" w:ascii="Times New Roman" w:hAnsi="Times New Roman" w:eastAsia="黑体" w:cs="Times New Roman"/>
          <w:sz w:val="32"/>
          <w:szCs w:val="32"/>
          <w:lang w:val="en-US" w:eastAsia="zh-CN"/>
        </w:rPr>
      </w:pPr>
      <w:r>
        <w:rPr>
          <w:rFonts w:hint="eastAsia" w:ascii="方正仿宋_GBK" w:hAnsi="方正仿宋_GBK" w:eastAsia="方正仿宋_GBK" w:cs="方正仿宋_GBK"/>
          <w:i w:val="0"/>
          <w:iCs w:val="0"/>
          <w:caps w:val="0"/>
          <w:color w:val="333333"/>
          <w:spacing w:val="0"/>
          <w:sz w:val="28"/>
          <w:szCs w:val="28"/>
          <w:shd w:val="clear" w:fill="FFFFFF"/>
          <w:lang w:val="en-US" w:eastAsia="zh-CN"/>
        </w:rPr>
        <w:t>注：第二次报价在开标现场填写，磋商响应文件密封提交时只需填写首次磋商报价。</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docPartObj>
        <w:docPartGallery w:val="autotext"/>
      </w:docPartObj>
    </w:sdtPr>
    <w:sdtEndPr>
      <w:rPr>
        <w:rFonts w:asciiTheme="minorEastAsia" w:hAnsiTheme="minorEastAsia"/>
        <w:sz w:val="21"/>
        <w:szCs w:val="21"/>
      </w:rPr>
    </w:sdtEndPr>
    <w:sdtContent>
      <w:p>
        <w:pPr>
          <w:pStyle w:val="1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w:t>
        </w:r>
        <w:r>
          <w:rPr>
            <w:rFonts w:asciiTheme="minorEastAsia" w:hAnsiTheme="minorEastAsia"/>
            <w:sz w:val="21"/>
            <w:szCs w:val="21"/>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3"/>
      <w:suff w:val="space"/>
      <w:lvlText w:val="%3、"/>
      <w:lvlJc w:val="left"/>
      <w:pPr>
        <w:ind w:left="0" w:firstLine="420"/>
      </w:pPr>
      <w:rPr>
        <w:rFonts w:hint="eastAsia"/>
      </w:rPr>
    </w:lvl>
    <w:lvl w:ilvl="3" w:tentative="0">
      <w:start w:val="1"/>
      <w:numFmt w:val="decimal"/>
      <w:pStyle w:val="4"/>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yZjhlZGRkZDZmY2ViMzQ2MWU3ZTUwYTEzMTQ2MTkifQ=="/>
  </w:docVars>
  <w:rsids>
    <w:rsidRoot w:val="007661A4"/>
    <w:rsid w:val="0003088A"/>
    <w:rsid w:val="00063538"/>
    <w:rsid w:val="00076635"/>
    <w:rsid w:val="000975A2"/>
    <w:rsid w:val="000A44B1"/>
    <w:rsid w:val="00151E3F"/>
    <w:rsid w:val="00155B7B"/>
    <w:rsid w:val="001561C7"/>
    <w:rsid w:val="00157275"/>
    <w:rsid w:val="0016302E"/>
    <w:rsid w:val="001704CA"/>
    <w:rsid w:val="00173619"/>
    <w:rsid w:val="00174E19"/>
    <w:rsid w:val="001A2970"/>
    <w:rsid w:val="001A2B8F"/>
    <w:rsid w:val="002108F4"/>
    <w:rsid w:val="00251CA5"/>
    <w:rsid w:val="002613C4"/>
    <w:rsid w:val="002A3026"/>
    <w:rsid w:val="002B3B40"/>
    <w:rsid w:val="002B47CE"/>
    <w:rsid w:val="002F2018"/>
    <w:rsid w:val="002F620E"/>
    <w:rsid w:val="00311F3E"/>
    <w:rsid w:val="00366189"/>
    <w:rsid w:val="00393CD5"/>
    <w:rsid w:val="003B127A"/>
    <w:rsid w:val="003B50DE"/>
    <w:rsid w:val="003F37DE"/>
    <w:rsid w:val="00425D03"/>
    <w:rsid w:val="00427288"/>
    <w:rsid w:val="004474F9"/>
    <w:rsid w:val="004565E0"/>
    <w:rsid w:val="004822D1"/>
    <w:rsid w:val="00507074"/>
    <w:rsid w:val="00515913"/>
    <w:rsid w:val="005431FF"/>
    <w:rsid w:val="00565C8F"/>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A3513"/>
    <w:rsid w:val="008A651A"/>
    <w:rsid w:val="008D1B33"/>
    <w:rsid w:val="008D5553"/>
    <w:rsid w:val="00900BB9"/>
    <w:rsid w:val="00901E2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62395"/>
    <w:rsid w:val="00B76C3D"/>
    <w:rsid w:val="00B92DB9"/>
    <w:rsid w:val="00BC571A"/>
    <w:rsid w:val="00C131BF"/>
    <w:rsid w:val="00C33214"/>
    <w:rsid w:val="00C42D66"/>
    <w:rsid w:val="00C63127"/>
    <w:rsid w:val="00CA3887"/>
    <w:rsid w:val="00CC2FD4"/>
    <w:rsid w:val="00D14A58"/>
    <w:rsid w:val="00D17BEF"/>
    <w:rsid w:val="00D20E99"/>
    <w:rsid w:val="00D7523F"/>
    <w:rsid w:val="00DF5845"/>
    <w:rsid w:val="00E4379C"/>
    <w:rsid w:val="00E469A8"/>
    <w:rsid w:val="00E86183"/>
    <w:rsid w:val="00EA2FC9"/>
    <w:rsid w:val="00ED5B24"/>
    <w:rsid w:val="00EF3862"/>
    <w:rsid w:val="00F12234"/>
    <w:rsid w:val="00F30DEC"/>
    <w:rsid w:val="00FA329E"/>
    <w:rsid w:val="00FA4C70"/>
    <w:rsid w:val="028C11CF"/>
    <w:rsid w:val="03550A49"/>
    <w:rsid w:val="05A85A82"/>
    <w:rsid w:val="07D13838"/>
    <w:rsid w:val="0B815649"/>
    <w:rsid w:val="155A30D3"/>
    <w:rsid w:val="159E329B"/>
    <w:rsid w:val="167571D0"/>
    <w:rsid w:val="16FA3937"/>
    <w:rsid w:val="189967EB"/>
    <w:rsid w:val="1B5C73CB"/>
    <w:rsid w:val="1F82303C"/>
    <w:rsid w:val="24EA6547"/>
    <w:rsid w:val="263D2305"/>
    <w:rsid w:val="28792866"/>
    <w:rsid w:val="2C247228"/>
    <w:rsid w:val="31BC0BA2"/>
    <w:rsid w:val="3B1C421D"/>
    <w:rsid w:val="3BD35C71"/>
    <w:rsid w:val="3E466D74"/>
    <w:rsid w:val="432E7458"/>
    <w:rsid w:val="46367DBF"/>
    <w:rsid w:val="465E0EE8"/>
    <w:rsid w:val="470F3D48"/>
    <w:rsid w:val="4AD652DE"/>
    <w:rsid w:val="4B170BB7"/>
    <w:rsid w:val="4D3C7046"/>
    <w:rsid w:val="4D86770C"/>
    <w:rsid w:val="4D954A8F"/>
    <w:rsid w:val="4E6B74B7"/>
    <w:rsid w:val="552159DD"/>
    <w:rsid w:val="56686E91"/>
    <w:rsid w:val="59892792"/>
    <w:rsid w:val="5A4B2513"/>
    <w:rsid w:val="5AB078E9"/>
    <w:rsid w:val="5B501CFC"/>
    <w:rsid w:val="5EDD4798"/>
    <w:rsid w:val="6022379A"/>
    <w:rsid w:val="608F0419"/>
    <w:rsid w:val="60F15F42"/>
    <w:rsid w:val="61081953"/>
    <w:rsid w:val="61756C12"/>
    <w:rsid w:val="618159FF"/>
    <w:rsid w:val="62590C5D"/>
    <w:rsid w:val="67024A05"/>
    <w:rsid w:val="675B6E7D"/>
    <w:rsid w:val="67E1286C"/>
    <w:rsid w:val="68696AB2"/>
    <w:rsid w:val="6CF46B9E"/>
    <w:rsid w:val="731A2D5D"/>
    <w:rsid w:val="749113CE"/>
    <w:rsid w:val="7B7F2766"/>
    <w:rsid w:val="7F264BB1"/>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numPr>
        <w:ilvl w:val="2"/>
        <w:numId w:val="1"/>
      </w:numPr>
      <w:spacing w:before="100" w:after="100"/>
      <w:ind w:firstLineChars="200"/>
      <w:outlineLvl w:val="2"/>
    </w:pPr>
    <w:rPr>
      <w:rFonts w:eastAsia="仿宋"/>
      <w:b/>
      <w:bCs/>
      <w:sz w:val="28"/>
      <w:szCs w:val="32"/>
    </w:rPr>
  </w:style>
  <w:style w:type="paragraph" w:styleId="4">
    <w:name w:val="heading 4"/>
    <w:basedOn w:val="1"/>
    <w:next w:val="1"/>
    <w:unhideWhenUsed/>
    <w:qFormat/>
    <w:uiPriority w:val="0"/>
    <w:pPr>
      <w:keepNext/>
      <w:keepLines/>
      <w:numPr>
        <w:ilvl w:val="3"/>
        <w:numId w:val="1"/>
      </w:numPr>
      <w:spacing w:before="40" w:after="40"/>
      <w:ind w:firstLine="200" w:firstLineChars="200"/>
      <w:outlineLvl w:val="3"/>
    </w:pPr>
    <w:rPr>
      <w:rFonts w:eastAsia="仿宋" w:asciiTheme="majorHAnsi" w:hAnsiTheme="majorHAnsi"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5">
    <w:name w:val="Body Text"/>
    <w:basedOn w:val="1"/>
    <w:next w:val="6"/>
    <w:qFormat/>
    <w:uiPriority w:val="0"/>
    <w:pPr>
      <w:spacing w:after="120"/>
    </w:pPr>
  </w:style>
  <w:style w:type="paragraph" w:styleId="6">
    <w:name w:val="Plain Text"/>
    <w:basedOn w:val="1"/>
    <w:qFormat/>
    <w:uiPriority w:val="0"/>
    <w:rPr>
      <w:rFonts w:ascii="宋体" w:hAnsi="Courier New"/>
      <w:szCs w:val="20"/>
    </w:rPr>
  </w:style>
  <w:style w:type="paragraph" w:styleId="7">
    <w:name w:val="Body Text Indent"/>
    <w:basedOn w:val="1"/>
    <w:next w:val="8"/>
    <w:semiHidden/>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Balloon Text"/>
    <w:basedOn w:val="1"/>
    <w:link w:val="23"/>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qFormat/>
    <w:uiPriority w:val="0"/>
    <w:pPr>
      <w:spacing w:before="200" w:after="400"/>
      <w:jc w:val="center"/>
      <w:outlineLvl w:val="0"/>
    </w:pPr>
    <w:rPr>
      <w:rFonts w:eastAsia="仿宋" w:asciiTheme="majorHAnsi" w:hAnsiTheme="majorHAnsi" w:cstheme="majorBidi"/>
      <w:b/>
      <w:bCs/>
      <w:sz w:val="44"/>
      <w:szCs w:val="32"/>
    </w:rPr>
  </w:style>
  <w:style w:type="paragraph" w:styleId="14">
    <w:name w:val="Body Text First Indent 2"/>
    <w:basedOn w:val="7"/>
    <w:qFormat/>
    <w:uiPriority w:val="99"/>
    <w:pPr>
      <w:ind w:firstLine="420" w:firstLineChars="200"/>
    </w:pPr>
    <w:rPr>
      <w:sz w:val="32"/>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paragraph" w:customStyle="1" w:styleId="19">
    <w:name w:val="正文1"/>
    <w:basedOn w:val="1"/>
    <w:qFormat/>
    <w:uiPriority w:val="0"/>
    <w:pPr>
      <w:spacing w:line="360" w:lineRule="auto"/>
      <w:ind w:firstLine="361"/>
    </w:pPr>
    <w:rPr>
      <w:rFonts w:ascii="宋体" w:hAnsi="宋体"/>
      <w:szCs w:val="24"/>
    </w:rPr>
  </w:style>
  <w:style w:type="character" w:customStyle="1" w:styleId="20">
    <w:name w:val="页眉 字符"/>
    <w:basedOn w:val="17"/>
    <w:link w:val="11"/>
    <w:semiHidden/>
    <w:qFormat/>
    <w:uiPriority w:val="99"/>
    <w:rPr>
      <w:sz w:val="18"/>
      <w:szCs w:val="18"/>
    </w:rPr>
  </w:style>
  <w:style w:type="character" w:customStyle="1" w:styleId="21">
    <w:name w:val="页脚 字符"/>
    <w:basedOn w:val="17"/>
    <w:link w:val="10"/>
    <w:qFormat/>
    <w:uiPriority w:val="99"/>
    <w:rPr>
      <w:sz w:val="18"/>
      <w:szCs w:val="18"/>
    </w:rPr>
  </w:style>
  <w:style w:type="paragraph" w:customStyle="1" w:styleId="22">
    <w:name w:val="p0"/>
    <w:basedOn w:val="1"/>
    <w:qFormat/>
    <w:uiPriority w:val="0"/>
    <w:pPr>
      <w:widowControl/>
    </w:pPr>
    <w:rPr>
      <w:rFonts w:ascii="Calibri" w:hAnsi="Calibri" w:eastAsia="宋体" w:cs="Calibri"/>
      <w:kern w:val="0"/>
      <w:szCs w:val="21"/>
    </w:rPr>
  </w:style>
  <w:style w:type="character" w:customStyle="1" w:styleId="23">
    <w:name w:val="批注框文本 字符"/>
    <w:basedOn w:val="17"/>
    <w:link w:val="9"/>
    <w:semiHidden/>
    <w:qFormat/>
    <w:uiPriority w:val="99"/>
    <w:rPr>
      <w:sz w:val="18"/>
      <w:szCs w:val="18"/>
    </w:rPr>
  </w:style>
  <w:style w:type="paragraph" w:customStyle="1" w:styleId="24">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5">
    <w:name w:val="List Paragraph"/>
    <w:basedOn w:val="1"/>
    <w:qFormat/>
    <w:uiPriority w:val="34"/>
    <w:pPr>
      <w:ind w:firstLine="420" w:firstLineChars="200"/>
    </w:pPr>
  </w:style>
  <w:style w:type="paragraph" w:customStyle="1" w:styleId="26">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27">
    <w:name w:val="font31"/>
    <w:basedOn w:val="17"/>
    <w:qFormat/>
    <w:uiPriority w:val="0"/>
    <w:rPr>
      <w:rFonts w:hint="default" w:ascii="Times New Roman" w:hAnsi="Times New Roman" w:cs="Times New Roman"/>
      <w:color w:val="000000"/>
      <w:sz w:val="21"/>
      <w:szCs w:val="21"/>
      <w:u w:val="none"/>
    </w:rPr>
  </w:style>
  <w:style w:type="character" w:customStyle="1" w:styleId="28">
    <w:name w:val="font5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7B9455-1F2C-4AB2-9C99-C83F342824C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4551</Words>
  <Characters>4729</Characters>
  <Lines>13</Lines>
  <Paragraphs>3</Paragraphs>
  <TotalTime>18</TotalTime>
  <ScaleCrop>false</ScaleCrop>
  <LinksUpToDate>false</LinksUpToDate>
  <CharactersWithSpaces>4864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2021-04-23T02:16:00Z</dcterms:created>
  <dc:creator>USER</dc:creator>
  <cp:lastModifiedBy>飞鱼</cp:lastModifiedBy>
  <cp:lastPrinted>2021-05-25T06:59:00Z</cp:lastPrinted>
  <dcterms:modified xsi:type="dcterms:W3CDTF">2023-10-16T06:06:07Z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2052-12.1.0.15374</vt:lpwstr>
  </property>
  <property fmtid="{D5CDD505-2E9C-101B-9397-08002B2CF9AE}" pid="4" name="ICV">
    <vt:lpwstr>ABC536B271694CC6982DAC8A09EDF34E</vt:lpwstr>
  </property>
</Properties>
</file>