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ADE1A">
      <w:pPr>
        <w:widowControl/>
        <w:jc w:val="center"/>
        <w:rPr>
          <w:rFonts w:ascii="Times New Roman" w:hAnsi="Times New Roman" w:eastAsia="黑体" w:cs="Times New Roman"/>
          <w:sz w:val="44"/>
          <w:szCs w:val="44"/>
        </w:rPr>
      </w:pPr>
      <w:bookmarkStart w:id="3" w:name="_GoBack"/>
      <w:bookmarkEnd w:id="3"/>
      <w:bookmarkStart w:id="0" w:name="_Hlk70189144"/>
      <w:r>
        <w:rPr>
          <w:rFonts w:hint="eastAsia" w:ascii="Times New Roman" w:hAnsi="Times New Roman" w:eastAsia="黑体" w:cs="Times New Roman"/>
          <w:sz w:val="44"/>
          <w:szCs w:val="44"/>
          <w:lang w:val="en-US" w:eastAsia="zh-CN"/>
        </w:rPr>
        <w:t>南通市数据局市县一体化政务服务管理平台商用密码应用安全性评估</w:t>
      </w:r>
      <w:r>
        <w:rPr>
          <w:rFonts w:hint="eastAsia" w:ascii="Times New Roman" w:hAnsi="Times New Roman" w:eastAsia="黑体" w:cs="Times New Roman"/>
          <w:sz w:val="44"/>
          <w:szCs w:val="44"/>
          <w:lang w:val="zh-CN" w:eastAsia="zh-CN"/>
        </w:rPr>
        <w:t>项目（</w:t>
      </w:r>
      <w:r>
        <w:rPr>
          <w:rFonts w:hint="eastAsia" w:ascii="Times New Roman" w:hAnsi="Times New Roman" w:eastAsia="黑体" w:cs="Times New Roman"/>
          <w:sz w:val="44"/>
          <w:szCs w:val="44"/>
          <w:lang w:val="en-US" w:eastAsia="zh-CN"/>
        </w:rPr>
        <w:t>2025年度</w:t>
      </w:r>
      <w:r>
        <w:rPr>
          <w:rFonts w:hint="eastAsia" w:ascii="Times New Roman" w:hAnsi="Times New Roman" w:eastAsia="黑体" w:cs="Times New Roman"/>
          <w:sz w:val="44"/>
          <w:szCs w:val="44"/>
          <w:lang w:val="zh-CN" w:eastAsia="zh-CN"/>
        </w:rPr>
        <w:t>）竞争性磋商</w:t>
      </w:r>
      <w:r>
        <w:rPr>
          <w:rFonts w:hint="eastAsia" w:ascii="Times New Roman" w:hAnsi="Times New Roman" w:eastAsia="黑体" w:cs="Times New Roman"/>
          <w:sz w:val="44"/>
          <w:szCs w:val="44"/>
          <w:lang w:val="en-US" w:eastAsia="zh-CN"/>
        </w:rPr>
        <w:t>采购需求</w:t>
      </w:r>
      <w:bookmarkEnd w:id="0"/>
    </w:p>
    <w:p w14:paraId="5C14FA89">
      <w:pPr>
        <w:spacing w:line="520" w:lineRule="exact"/>
        <w:ind w:firstLine="720" w:firstLineChars="225"/>
        <w:rPr>
          <w:rFonts w:ascii="Times New Roman" w:hAnsi="Times New Roman" w:eastAsia="方正仿宋_GBK" w:cs="Times New Roman"/>
          <w:sz w:val="32"/>
          <w:szCs w:val="32"/>
        </w:rPr>
      </w:pPr>
    </w:p>
    <w:p w14:paraId="58A39E68">
      <w:pPr>
        <w:pStyle w:val="25"/>
        <w:numPr>
          <w:ilvl w:val="0"/>
          <w:numId w:val="0"/>
        </w:numPr>
        <w:tabs>
          <w:tab w:val="left" w:pos="5325"/>
        </w:tabs>
        <w:snapToGrid w:val="0"/>
        <w:spacing w:before="156" w:beforeLines="50" w:after="156" w:afterLines="50"/>
        <w:contextualSpacing/>
        <w:rPr>
          <w:rFonts w:ascii="黑体" w:hAnsi="黑体" w:eastAsia="黑体" w:cs="Times New Roman"/>
          <w:sz w:val="32"/>
          <w:szCs w:val="32"/>
        </w:rPr>
      </w:pPr>
      <w:bookmarkStart w:id="1" w:name="_Toc344724549"/>
      <w:r>
        <w:rPr>
          <w:rFonts w:hint="default" w:ascii="黑体" w:hAnsi="黑体" w:eastAsia="黑体" w:cs="Times New Roman"/>
          <w:kern w:val="2"/>
          <w:sz w:val="32"/>
          <w:szCs w:val="32"/>
          <w:lang w:val="en-US" w:eastAsia="zh-CN" w:bidi="ar-SA"/>
        </w:rPr>
        <w:t>一、</w:t>
      </w:r>
      <w:r>
        <w:rPr>
          <w:rFonts w:hint="eastAsia" w:ascii="黑体" w:hAnsi="黑体" w:eastAsia="黑体" w:cs="Times New Roman"/>
          <w:sz w:val="32"/>
          <w:szCs w:val="32"/>
        </w:rPr>
        <w:t>基本</w:t>
      </w:r>
      <w:r>
        <w:rPr>
          <w:rFonts w:ascii="黑体" w:hAnsi="黑体" w:eastAsia="黑体" w:cs="Times New Roman"/>
          <w:sz w:val="32"/>
          <w:szCs w:val="32"/>
        </w:rPr>
        <w:t>情况</w:t>
      </w:r>
    </w:p>
    <w:p w14:paraId="5328C585">
      <w:pPr>
        <w:pStyle w:val="19"/>
        <w:ind w:left="0" w:leftChars="0" w:firstLine="560" w:firstLineChars="200"/>
        <w:rPr>
          <w:rFonts w:hint="eastAsia"/>
          <w:sz w:val="28"/>
          <w:szCs w:val="28"/>
          <w:lang w:val="zh-CN"/>
        </w:rPr>
      </w:pPr>
      <w:r>
        <w:rPr>
          <w:rFonts w:hint="eastAsia" w:ascii="Times New Roman" w:hAnsi="Times New Roman" w:eastAsia="方正仿宋_GBK" w:cs="Times New Roman"/>
          <w:b w:val="0"/>
          <w:bCs w:val="0"/>
          <w:kern w:val="0"/>
          <w:sz w:val="28"/>
          <w:szCs w:val="28"/>
          <w:lang w:val="zh-CN" w:eastAsia="zh-CN" w:bidi="ar-SA"/>
        </w:rPr>
        <w:t>根据《中华人民共和国密码法》、《国家政务信息化项目建设管理办法》、《江苏省省级政务信息化项目建设管理办法》等要求，结合项目建设总体规划，需对南通市</w:t>
      </w:r>
      <w:r>
        <w:rPr>
          <w:rFonts w:hint="eastAsia" w:ascii="Times New Roman" w:hAnsi="Times New Roman" w:eastAsia="方正仿宋_GBK" w:cs="Times New Roman"/>
          <w:b w:val="0"/>
          <w:bCs w:val="0"/>
          <w:kern w:val="0"/>
          <w:sz w:val="28"/>
          <w:szCs w:val="28"/>
          <w:lang w:val="en-US" w:eastAsia="zh-CN" w:bidi="ar-SA"/>
        </w:rPr>
        <w:t>数据局</w:t>
      </w:r>
      <w:r>
        <w:rPr>
          <w:rFonts w:hint="eastAsia" w:ascii="Times New Roman" w:hAnsi="Times New Roman" w:eastAsia="方正仿宋_GBK" w:cs="Times New Roman"/>
          <w:sz w:val="28"/>
          <w:szCs w:val="28"/>
          <w:lang w:val="en-US" w:eastAsia="zh-CN"/>
        </w:rPr>
        <w:t>市县一体化政务服务管理平台</w:t>
      </w:r>
      <w:r>
        <w:rPr>
          <w:rFonts w:hint="eastAsia" w:ascii="Times New Roman" w:hAnsi="Times New Roman" w:eastAsia="方正仿宋_GBK" w:cs="Times New Roman"/>
          <w:b w:val="0"/>
          <w:bCs w:val="0"/>
          <w:kern w:val="0"/>
          <w:sz w:val="28"/>
          <w:szCs w:val="28"/>
          <w:lang w:val="zh-CN" w:eastAsia="zh-CN" w:bidi="ar-SA"/>
        </w:rPr>
        <w:t>开展</w:t>
      </w:r>
      <w:r>
        <w:rPr>
          <w:rFonts w:hint="eastAsia" w:ascii="Times New Roman" w:hAnsi="Times New Roman" w:eastAsia="方正仿宋_GBK" w:cs="Times New Roman"/>
          <w:b w:val="0"/>
          <w:bCs w:val="0"/>
          <w:kern w:val="0"/>
          <w:sz w:val="28"/>
          <w:szCs w:val="28"/>
          <w:lang w:val="en-US" w:eastAsia="zh-CN" w:bidi="ar-SA"/>
        </w:rPr>
        <w:t>2025年度</w:t>
      </w:r>
      <w:r>
        <w:rPr>
          <w:rFonts w:hint="eastAsia" w:ascii="Times New Roman" w:hAnsi="Times New Roman" w:eastAsia="方正仿宋_GBK" w:cs="Times New Roman"/>
          <w:b w:val="0"/>
          <w:bCs w:val="0"/>
          <w:kern w:val="0"/>
          <w:sz w:val="28"/>
          <w:szCs w:val="28"/>
          <w:lang w:val="zh-CN" w:eastAsia="zh-CN" w:bidi="ar-SA"/>
        </w:rPr>
        <w:t>商用密码应用安全性测评，深入查找网络安全的薄弱环节和安全隐患，分析面临的风险，确保系统安全性。</w:t>
      </w:r>
    </w:p>
    <w:p w14:paraId="06B9E79B">
      <w:pPr>
        <w:pStyle w:val="25"/>
        <w:numPr>
          <w:ilvl w:val="0"/>
          <w:numId w:val="0"/>
        </w:numPr>
        <w:tabs>
          <w:tab w:val="left" w:pos="5325"/>
        </w:tabs>
        <w:snapToGrid w:val="0"/>
        <w:spacing w:before="156" w:beforeLines="50" w:after="156" w:afterLines="50" w:line="360" w:lineRule="auto"/>
        <w:contextualSpacing/>
        <w:rPr>
          <w:rFonts w:ascii="黑体" w:hAnsi="黑体" w:eastAsia="黑体" w:cs="Times New Roman"/>
          <w:sz w:val="32"/>
          <w:szCs w:val="32"/>
        </w:rPr>
      </w:pPr>
      <w:bookmarkStart w:id="2" w:name="_Hlk70068067"/>
      <w:r>
        <w:rPr>
          <w:rFonts w:hint="default" w:ascii="黑体" w:hAnsi="黑体" w:eastAsia="黑体" w:cs="Times New Roman"/>
          <w:kern w:val="2"/>
          <w:sz w:val="32"/>
          <w:szCs w:val="32"/>
          <w:lang w:val="en-US" w:eastAsia="zh-CN" w:bidi="ar-SA"/>
        </w:rPr>
        <w:t>二、</w:t>
      </w:r>
      <w:r>
        <w:rPr>
          <w:rFonts w:hint="eastAsia" w:ascii="黑体" w:hAnsi="黑体" w:eastAsia="黑体" w:cs="Times New Roman"/>
          <w:sz w:val="32"/>
          <w:szCs w:val="32"/>
          <w:lang w:eastAsia="zh-CN"/>
        </w:rPr>
        <w:t>服务</w:t>
      </w:r>
      <w:r>
        <w:rPr>
          <w:rFonts w:hint="eastAsia" w:ascii="黑体" w:hAnsi="黑体" w:eastAsia="黑体" w:cs="Times New Roman"/>
          <w:sz w:val="32"/>
          <w:szCs w:val="32"/>
        </w:rPr>
        <w:t>内容</w:t>
      </w:r>
      <w:bookmarkEnd w:id="2"/>
    </w:p>
    <w:p w14:paraId="1A8AEB28">
      <w:pPr>
        <w:pStyle w:val="2"/>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1、商用密码应用安全性评估服务</w:t>
      </w:r>
    </w:p>
    <w:p w14:paraId="539C20B8">
      <w:pPr>
        <w:pStyle w:val="2"/>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1.1</w:t>
      </w:r>
      <w:r>
        <w:rPr>
          <w:rFonts w:hint="default" w:ascii="Times New Roman" w:hAnsi="Times New Roman" w:eastAsia="方正仿宋_GBK" w:cs="Times New Roman"/>
          <w:b w:val="0"/>
          <w:bCs w:val="0"/>
          <w:kern w:val="0"/>
          <w:sz w:val="28"/>
          <w:szCs w:val="28"/>
          <w:lang w:val="zh-CN" w:eastAsia="zh-CN" w:bidi="ar-SA"/>
        </w:rPr>
        <w:t>本次测评涉及的信息系统</w:t>
      </w:r>
    </w:p>
    <w:tbl>
      <w:tblPr>
        <w:tblStyle w:val="1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1729"/>
      </w:tblGrid>
      <w:tr w14:paraId="504E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Align w:val="center"/>
          </w:tcPr>
          <w:p w14:paraId="4C8A8E7C">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序号</w:t>
            </w:r>
          </w:p>
        </w:tc>
        <w:tc>
          <w:tcPr>
            <w:tcW w:w="5812" w:type="dxa"/>
            <w:vAlign w:val="center"/>
          </w:tcPr>
          <w:p w14:paraId="213FCED4">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信息系统名称</w:t>
            </w:r>
          </w:p>
        </w:tc>
        <w:tc>
          <w:tcPr>
            <w:tcW w:w="1729" w:type="dxa"/>
            <w:vAlign w:val="center"/>
          </w:tcPr>
          <w:p w14:paraId="4D749B47">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备案等级</w:t>
            </w:r>
          </w:p>
        </w:tc>
      </w:tr>
      <w:tr w14:paraId="2C07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14:paraId="1589BED7">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w:t>
            </w:r>
          </w:p>
        </w:tc>
        <w:tc>
          <w:tcPr>
            <w:tcW w:w="5812" w:type="dxa"/>
            <w:vAlign w:val="center"/>
          </w:tcPr>
          <w:p w14:paraId="1BD47CBC">
            <w:pPr>
              <w:widowControl/>
              <w:shd w:val="clear" w:color="auto" w:fill="FFFFFF" w:themeFill="background1"/>
              <w:spacing w:line="360" w:lineRule="auto"/>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市县一体化政务服务管理平台</w:t>
            </w:r>
          </w:p>
        </w:tc>
        <w:tc>
          <w:tcPr>
            <w:tcW w:w="1729" w:type="dxa"/>
            <w:vAlign w:val="center"/>
          </w:tcPr>
          <w:p w14:paraId="4EFBBD20">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叁级</w:t>
            </w:r>
          </w:p>
        </w:tc>
      </w:tr>
    </w:tbl>
    <w:p w14:paraId="65F24BE5">
      <w:pPr>
        <w:pStyle w:val="2"/>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1.2 测评工作实施</w:t>
      </w:r>
    </w:p>
    <w:p w14:paraId="5E22C168">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依据GB/T39786-2021《信息安全技术信息系统密码应用基本要求》、GM/T 0115-2021《信息系统密码应用测评要求》、GM/T 0116-2021《信息系统密码应用测评过程指南》、《商用密码应用安全性评估测评作业指导书（试行）》，对南通市</w:t>
      </w:r>
      <w:r>
        <w:rPr>
          <w:rFonts w:hint="eastAsia" w:ascii="Times New Roman" w:hAnsi="Times New Roman" w:eastAsia="方正仿宋_GBK" w:cs="Times New Roman"/>
          <w:b w:val="0"/>
          <w:bCs w:val="0"/>
          <w:kern w:val="0"/>
          <w:sz w:val="28"/>
          <w:szCs w:val="28"/>
          <w:lang w:val="en-US" w:eastAsia="zh-CN" w:bidi="ar-SA"/>
        </w:rPr>
        <w:t>数据局</w:t>
      </w:r>
      <w:r>
        <w:rPr>
          <w:rFonts w:hint="eastAsia" w:ascii="Times New Roman" w:hAnsi="Times New Roman" w:eastAsia="方正仿宋_GBK" w:cs="Times New Roman"/>
          <w:sz w:val="32"/>
          <w:szCs w:val="32"/>
          <w:lang w:val="en-US" w:eastAsia="zh-CN"/>
        </w:rPr>
        <w:t>市县一体化政务服务管理平台</w:t>
      </w:r>
      <w:r>
        <w:rPr>
          <w:rFonts w:hint="default" w:ascii="Times New Roman" w:hAnsi="Times New Roman" w:eastAsia="方正仿宋_GBK" w:cs="Times New Roman"/>
          <w:b w:val="0"/>
          <w:bCs w:val="0"/>
          <w:kern w:val="0"/>
          <w:sz w:val="28"/>
          <w:szCs w:val="28"/>
          <w:lang w:val="en-US" w:eastAsia="zh-CN" w:bidi="ar-SA"/>
        </w:rPr>
        <w:t>进行</w:t>
      </w:r>
      <w:r>
        <w:rPr>
          <w:rFonts w:hint="eastAsia" w:ascii="Times New Roman" w:hAnsi="Times New Roman" w:eastAsia="方正仿宋_GBK" w:cs="Times New Roman"/>
          <w:b w:val="0"/>
          <w:bCs w:val="0"/>
          <w:kern w:val="0"/>
          <w:sz w:val="28"/>
          <w:szCs w:val="28"/>
          <w:lang w:val="en-US" w:eastAsia="zh-CN" w:bidi="ar-SA"/>
        </w:rPr>
        <w:t>商用</w:t>
      </w:r>
      <w:r>
        <w:rPr>
          <w:rFonts w:hint="default" w:ascii="Times New Roman" w:hAnsi="Times New Roman" w:eastAsia="方正仿宋_GBK" w:cs="Times New Roman"/>
          <w:b w:val="0"/>
          <w:bCs w:val="0"/>
          <w:kern w:val="0"/>
          <w:sz w:val="28"/>
          <w:szCs w:val="28"/>
          <w:lang w:val="en-US" w:eastAsia="zh-CN" w:bidi="ar-SA"/>
        </w:rPr>
        <w:t>密码应用安全性评估。</w:t>
      </w:r>
    </w:p>
    <w:p w14:paraId="63D78118">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1.3具体测评内容</w:t>
      </w:r>
    </w:p>
    <w:p w14:paraId="1560724B">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A．</w:t>
      </w:r>
      <w:r>
        <w:rPr>
          <w:rFonts w:hint="default" w:ascii="Times New Roman" w:hAnsi="Times New Roman" w:eastAsia="方正仿宋_GBK" w:cs="Times New Roman"/>
          <w:sz w:val="28"/>
          <w:szCs w:val="28"/>
          <w:lang w:val="ja-JP" w:eastAsia="ja-JP"/>
        </w:rPr>
        <w:t>密码技术应用测评</w:t>
      </w:r>
      <w:r>
        <w:rPr>
          <w:rFonts w:hint="default" w:ascii="Times New Roman" w:hAnsi="Times New Roman" w:eastAsia="方正仿宋_GBK" w:cs="Times New Roman"/>
          <w:sz w:val="28"/>
          <w:szCs w:val="28"/>
        </w:rPr>
        <w:t>：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14:paraId="57161D48">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B．</w:t>
      </w:r>
      <w:r>
        <w:rPr>
          <w:rFonts w:hint="default" w:ascii="Times New Roman" w:hAnsi="Times New Roman" w:eastAsia="方正仿宋_GBK" w:cs="Times New Roman"/>
          <w:sz w:val="28"/>
          <w:szCs w:val="28"/>
          <w:lang w:val="ja-JP" w:eastAsia="ja-JP"/>
        </w:rPr>
        <w:t>密钥管理测评</w:t>
      </w:r>
      <w:r>
        <w:rPr>
          <w:rFonts w:hint="default" w:ascii="Times New Roman" w:hAnsi="Times New Roman" w:eastAsia="方正仿宋_GBK" w:cs="Times New Roman"/>
          <w:sz w:val="28"/>
          <w:szCs w:val="28"/>
        </w:rPr>
        <w:t>：检测信息系统密钥管理各环节，包括对密钥的生成、存储、分发、导入、导出、使用、备份、恢复、归档与销毁等环节进行管理和策略制定的全过程是否符合要求；</w:t>
      </w:r>
    </w:p>
    <w:p w14:paraId="208548F8">
      <w:pPr>
        <w:pStyle w:val="26"/>
        <w:snapToGrid w:val="0"/>
        <w:spacing w:line="300" w:lineRule="auto"/>
        <w:ind w:firstLine="560" w:firstLineChars="200"/>
        <w:contextualSpacing/>
        <w:jc w:val="left"/>
        <w:rPr>
          <w:rFonts w:hint="eastAsia" w:ascii="Times New Roman" w:hAnsi="Times New Roman" w:eastAsia="方正仿宋_GBK" w:cs="Times New Roman"/>
          <w:sz w:val="28"/>
          <w:szCs w:val="28"/>
          <w:lang w:val="ja-JP" w:eastAsia="zh-CN"/>
        </w:rPr>
      </w:pPr>
      <w:r>
        <w:rPr>
          <w:rFonts w:hint="default" w:ascii="Times New Roman" w:hAnsi="Times New Roman" w:eastAsia="方正仿宋_GBK" w:cs="Times New Roman"/>
          <w:sz w:val="28"/>
          <w:szCs w:val="28"/>
        </w:rPr>
        <w:t>C、</w:t>
      </w:r>
      <w:r>
        <w:rPr>
          <w:rFonts w:hint="default" w:ascii="Times New Roman" w:hAnsi="Times New Roman" w:eastAsia="方正仿宋_GBK" w:cs="Times New Roman"/>
          <w:sz w:val="28"/>
          <w:szCs w:val="28"/>
          <w:lang w:val="ja-JP" w:eastAsia="ja-JP"/>
        </w:rPr>
        <w:t>安全管理测评</w:t>
      </w:r>
      <w:r>
        <w:rPr>
          <w:rFonts w:hint="eastAsia" w:ascii="Times New Roman" w:hAnsi="Times New Roman" w:eastAsia="方正仿宋_GBK" w:cs="Times New Roman"/>
          <w:sz w:val="28"/>
          <w:szCs w:val="28"/>
          <w:lang w:val="ja-JP" w:eastAsia="zh-CN"/>
        </w:rPr>
        <w:t>：对制度、人员、实施和应急等四个方面安全管理的测评，并指导采购人完善商用密码应用安全性管理制度以及和商用密码相关的系统运维管理制度；</w:t>
      </w:r>
    </w:p>
    <w:p w14:paraId="454A8FB2">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D、形成密码应用安全性评估相关报告：针对每个被评估系统编制密码应用安全性评估报告，报告按照国家密码管理局要求包含的内容编制或参考模板编制。协助被评估单位认清风险，查找漏洞，找出差距，提出有针对性地加强完善密码安全管理和防护建议，指导并督促采购人现场信息系统供应商按照要求改进进行整改落实。</w:t>
      </w:r>
    </w:p>
    <w:p w14:paraId="774B2D3C">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2、根据被评估单位商用密码应用需求，提供相关密码应用技术咨询支持服务。</w:t>
      </w:r>
    </w:p>
    <w:p w14:paraId="5708DAE7">
      <w:pPr>
        <w:pStyle w:val="25"/>
        <w:keepNext w:val="0"/>
        <w:keepLines w:val="0"/>
        <w:pageBreakBefore w:val="0"/>
        <w:widowControl w:val="0"/>
        <w:numPr>
          <w:ilvl w:val="0"/>
          <w:numId w:val="0"/>
        </w:numPr>
        <w:tabs>
          <w:tab w:val="left" w:pos="5325"/>
        </w:tabs>
        <w:kinsoku/>
        <w:wordWrap/>
        <w:overflowPunct/>
        <w:topLinePunct w:val="0"/>
        <w:autoSpaceDE/>
        <w:autoSpaceDN/>
        <w:bidi w:val="0"/>
        <w:adjustRightInd/>
        <w:snapToGrid w:val="0"/>
        <w:spacing w:before="156" w:beforeLines="50" w:after="156" w:afterLines="50" w:line="240" w:lineRule="auto"/>
        <w:ind w:left="0" w:leftChars="0" w:firstLine="0" w:firstLineChars="0"/>
        <w:contextualSpacing/>
        <w:textAlignment w:val="auto"/>
        <w:rPr>
          <w:rFonts w:ascii="黑体" w:hAnsi="黑体" w:eastAsia="黑体" w:cs="Times New Roman"/>
          <w:sz w:val="32"/>
          <w:szCs w:val="32"/>
        </w:rPr>
      </w:pPr>
      <w:r>
        <w:rPr>
          <w:rFonts w:hint="default" w:ascii="黑体" w:hAnsi="黑体" w:eastAsia="黑体" w:cs="Times New Roman"/>
          <w:kern w:val="2"/>
          <w:sz w:val="32"/>
          <w:szCs w:val="32"/>
          <w:lang w:val="en-US" w:eastAsia="zh-CN" w:bidi="ar-SA"/>
        </w:rPr>
        <w:t>三、</w:t>
      </w:r>
      <w:r>
        <w:rPr>
          <w:rFonts w:hint="eastAsia" w:ascii="黑体" w:hAnsi="黑体" w:eastAsia="黑体" w:cs="Times New Roman"/>
          <w:sz w:val="32"/>
          <w:szCs w:val="32"/>
          <w:lang w:eastAsia="zh-CN"/>
        </w:rPr>
        <w:t>测评服务</w:t>
      </w:r>
      <w:r>
        <w:rPr>
          <w:rFonts w:ascii="黑体" w:hAnsi="黑体" w:eastAsia="黑体" w:cs="Times New Roman"/>
          <w:sz w:val="32"/>
          <w:szCs w:val="32"/>
        </w:rPr>
        <w:t>要求</w:t>
      </w:r>
    </w:p>
    <w:p w14:paraId="1D65E629">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b w:val="0"/>
          <w:bCs w:val="0"/>
          <w:kern w:val="0"/>
          <w:sz w:val="28"/>
          <w:szCs w:val="28"/>
          <w:lang w:val="en-US" w:eastAsia="zh-CN" w:bidi="ar-SA"/>
        </w:rPr>
      </w:pPr>
      <w:r>
        <w:rPr>
          <w:rFonts w:hint="eastAsia" w:ascii="Times New Roman" w:hAnsi="Times New Roman" w:eastAsia="方正仿宋_GBK" w:cs="Times New Roman"/>
          <w:b w:val="0"/>
          <w:bCs w:val="0"/>
          <w:kern w:val="0"/>
          <w:sz w:val="28"/>
          <w:szCs w:val="28"/>
          <w:lang w:val="en-US" w:eastAsia="zh-CN" w:bidi="ar-SA"/>
        </w:rPr>
        <w:t>1</w:t>
      </w:r>
      <w:r>
        <w:rPr>
          <w:rFonts w:hint="default" w:ascii="Times New Roman" w:hAnsi="Times New Roman" w:eastAsia="方正仿宋_GBK" w:cs="Times New Roman"/>
          <w:b w:val="0"/>
          <w:bCs w:val="0"/>
          <w:kern w:val="0"/>
          <w:sz w:val="28"/>
          <w:szCs w:val="28"/>
          <w:lang w:val="en-US" w:eastAsia="zh-CN" w:bidi="ar-SA"/>
        </w:rPr>
        <w:t>、交付物：《</w:t>
      </w:r>
      <w:r>
        <w:rPr>
          <w:rFonts w:hint="default" w:ascii="Times New Roman" w:hAnsi="Times New Roman" w:eastAsia="方正仿宋_GBK" w:cs="Times New Roman"/>
          <w:sz w:val="28"/>
          <w:szCs w:val="28"/>
        </w:rPr>
        <w:t>市县一体化政务服务管理平台</w:t>
      </w:r>
      <w:r>
        <w:rPr>
          <w:rFonts w:hint="eastAsia" w:ascii="Times New Roman" w:hAnsi="Times New Roman" w:eastAsia="方正仿宋_GBK" w:cs="Times New Roman"/>
          <w:sz w:val="28"/>
          <w:szCs w:val="28"/>
          <w:lang w:val="en-US" w:eastAsia="zh-CN"/>
        </w:rPr>
        <w:t>商用</w:t>
      </w:r>
      <w:r>
        <w:rPr>
          <w:rFonts w:hint="default" w:ascii="Times New Roman" w:hAnsi="Times New Roman" w:eastAsia="方正仿宋_GBK" w:cs="Times New Roman"/>
          <w:b w:val="0"/>
          <w:bCs w:val="0"/>
          <w:kern w:val="0"/>
          <w:sz w:val="28"/>
          <w:szCs w:val="28"/>
          <w:lang w:val="en-US" w:eastAsia="zh-CN" w:bidi="ar-SA"/>
        </w:rPr>
        <w:t>密码应用安全性评估报告》</w:t>
      </w:r>
      <w:r>
        <w:rPr>
          <w:rFonts w:hint="eastAsia" w:ascii="Times New Roman" w:hAnsi="Times New Roman" w:eastAsia="方正仿宋_GBK" w:cs="Times New Roman"/>
          <w:b w:val="0"/>
          <w:bCs w:val="0"/>
          <w:kern w:val="0"/>
          <w:sz w:val="28"/>
          <w:szCs w:val="28"/>
          <w:lang w:val="en-US" w:eastAsia="zh-CN" w:bidi="ar-SA"/>
        </w:rPr>
        <w:t>。</w:t>
      </w:r>
    </w:p>
    <w:p w14:paraId="70328A0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b w:val="0"/>
          <w:bCs w:val="0"/>
          <w:kern w:val="0"/>
          <w:sz w:val="28"/>
          <w:szCs w:val="28"/>
          <w:lang w:val="en-US" w:eastAsia="zh-CN" w:bidi="ar-SA"/>
        </w:rPr>
      </w:pPr>
      <w:r>
        <w:rPr>
          <w:rFonts w:hint="eastAsia" w:ascii="Times New Roman" w:hAnsi="Times New Roman" w:eastAsia="方正仿宋_GBK" w:cs="Times New Roman"/>
          <w:b w:val="0"/>
          <w:bCs w:val="0"/>
          <w:kern w:val="0"/>
          <w:sz w:val="28"/>
          <w:szCs w:val="28"/>
          <w:lang w:val="en-US" w:eastAsia="zh-CN" w:bidi="ar-SA"/>
        </w:rPr>
        <w:t>2、</w:t>
      </w:r>
      <w:r>
        <w:rPr>
          <w:rFonts w:hint="default" w:ascii="Times New Roman" w:hAnsi="Times New Roman" w:eastAsia="方正仿宋_GBK" w:cs="Times New Roman"/>
          <w:b w:val="0"/>
          <w:bCs w:val="0"/>
          <w:kern w:val="0"/>
          <w:sz w:val="28"/>
          <w:szCs w:val="28"/>
          <w:lang w:val="en-US" w:eastAsia="zh-CN" w:bidi="ar-SA"/>
        </w:rPr>
        <w:t>人员要求：</w:t>
      </w:r>
    </w:p>
    <w:p w14:paraId="2DE1E78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kern w:val="0"/>
          <w:sz w:val="28"/>
          <w:szCs w:val="28"/>
          <w:lang w:val="en-US" w:eastAsia="zh-CN" w:bidi="ar-SA"/>
        </w:rPr>
      </w:pPr>
      <w:r>
        <w:rPr>
          <w:rFonts w:hint="eastAsia" w:ascii="Times New Roman" w:hAnsi="Times New Roman" w:eastAsia="方正仿宋_GBK" w:cs="Times New Roman"/>
          <w:kern w:val="0"/>
          <w:sz w:val="28"/>
          <w:szCs w:val="28"/>
          <w:lang w:val="en-US" w:eastAsia="zh-CN" w:bidi="ar-SA"/>
        </w:rPr>
        <w:t>项目经理及测评技术人员应为本单位正式在职员工且均具有商用密码应用安全性评估人员培训合格证书的，测评技术人员不得少于3人。</w:t>
      </w:r>
    </w:p>
    <w:p w14:paraId="26B9330F">
      <w:pPr>
        <w:pStyle w:val="26"/>
        <w:autoSpaceDE w:val="0"/>
        <w:autoSpaceDN w:val="0"/>
        <w:adjustRightInd w:val="0"/>
        <w:spacing w:before="100" w:after="100"/>
        <w:ind w:right="-197" w:rightChars="-94" w:firstLine="600"/>
        <w:rPr>
          <w:rFonts w:hint="default" w:ascii="Times New Roman" w:hAnsi="Times New Roman" w:eastAsia="方正仿宋_GBK" w:cs="Times New Roman"/>
          <w:kern w:val="0"/>
          <w:sz w:val="28"/>
          <w:szCs w:val="28"/>
          <w:lang w:val="zh-CN"/>
        </w:rPr>
      </w:pP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lang w:val="zh-CN" w:eastAsia="zh-CN"/>
        </w:rPr>
        <w:t>测评服务单位</w:t>
      </w:r>
      <w:r>
        <w:rPr>
          <w:rFonts w:hint="default" w:ascii="Times New Roman" w:hAnsi="Times New Roman" w:eastAsia="方正仿宋_GBK" w:cs="Times New Roman"/>
          <w:kern w:val="0"/>
          <w:sz w:val="28"/>
          <w:szCs w:val="28"/>
          <w:lang w:val="zh-CN"/>
        </w:rPr>
        <w:t>在测评过程中，需严格遵循保密原则，对服务过程中涉及到的任何用户信息未经允许不向其他任何第三方泄漏，以及不得利用这些信息损害采购方利益。</w:t>
      </w:r>
    </w:p>
    <w:p w14:paraId="418F461B">
      <w:pPr>
        <w:pStyle w:val="26"/>
        <w:autoSpaceDE w:val="0"/>
        <w:autoSpaceDN w:val="0"/>
        <w:adjustRightInd w:val="0"/>
        <w:spacing w:before="100" w:after="100"/>
        <w:ind w:right="-197" w:rightChars="-94" w:firstLine="600"/>
        <w:rPr>
          <w:rFonts w:hint="default" w:ascii="Times New Roman" w:hAnsi="Times New Roman" w:eastAsia="方正仿宋_GBK" w:cs="Times New Roman"/>
          <w:kern w:val="0"/>
          <w:sz w:val="28"/>
          <w:szCs w:val="28"/>
          <w:lang w:val="en-US" w:eastAsia="zh-CN"/>
        </w:rPr>
      </w:pPr>
    </w:p>
    <w:bookmarkEnd w:id="1"/>
    <w:p w14:paraId="554F7575">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ascii="黑体" w:hAnsi="黑体" w:eastAsia="黑体" w:cs="Times New Roman"/>
          <w:sz w:val="32"/>
          <w:szCs w:val="32"/>
        </w:rPr>
        <w:t>合同签订</w:t>
      </w:r>
    </w:p>
    <w:p w14:paraId="6E8CEAA5">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方正仿宋_GBK" w:cs="Times New Roman"/>
          <w:color w:val="FF0000"/>
          <w:sz w:val="28"/>
          <w:szCs w:val="28"/>
          <w:lang w:val="en-US" w:eastAsia="zh-CN"/>
        </w:rPr>
      </w:pPr>
      <w:r>
        <w:rPr>
          <w:rFonts w:hint="eastAsia" w:ascii="Times New Roman" w:hAnsi="Times New Roman" w:eastAsia="方正仿宋_GBK" w:cs="Times New Roman"/>
          <w:sz w:val="28"/>
          <w:szCs w:val="28"/>
          <w:lang w:val="en-US" w:eastAsia="zh-CN"/>
        </w:rPr>
        <w:t>中标结果</w:t>
      </w:r>
      <w:r>
        <w:rPr>
          <w:rFonts w:hint="eastAsia" w:ascii="Times New Roman" w:hAnsi="Times New Roman" w:eastAsia="方正仿宋_GBK" w:cs="Times New Roman"/>
          <w:sz w:val="28"/>
          <w:szCs w:val="28"/>
          <w:lang w:val="zh-CN"/>
        </w:rPr>
        <w:t>公示结束后，</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lang w:val="zh-CN"/>
        </w:rPr>
        <w:t>个工作日内签订合同</w:t>
      </w:r>
      <w:r>
        <w:rPr>
          <w:rFonts w:hint="eastAsia" w:ascii="Times New Roman" w:hAnsi="Times New Roman" w:eastAsia="方正仿宋_GBK" w:cs="Times New Roman"/>
          <w:sz w:val="28"/>
          <w:szCs w:val="28"/>
          <w:lang w:val="zh-CN"/>
        </w:rPr>
        <w:t>。</w:t>
      </w:r>
    </w:p>
    <w:p w14:paraId="409062D1">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w:t>
      </w:r>
      <w:r>
        <w:rPr>
          <w:rFonts w:ascii="黑体" w:hAnsi="黑体" w:eastAsia="黑体" w:cs="Times New Roman"/>
          <w:sz w:val="32"/>
          <w:szCs w:val="32"/>
        </w:rPr>
        <w:t>付款</w:t>
      </w:r>
      <w:r>
        <w:rPr>
          <w:rFonts w:hint="eastAsia" w:ascii="黑体" w:hAnsi="黑体" w:eastAsia="黑体" w:cs="Times New Roman"/>
          <w:sz w:val="32"/>
          <w:szCs w:val="32"/>
        </w:rPr>
        <w:t>方式</w:t>
      </w:r>
    </w:p>
    <w:p w14:paraId="064E8D37">
      <w:pPr>
        <w:keepNext w:val="0"/>
        <w:keepLines w:val="0"/>
        <w:pageBreakBefore w:val="0"/>
        <w:widowControl w:val="0"/>
        <w:kinsoku/>
        <w:wordWrap/>
        <w:overflowPunct/>
        <w:topLinePunct w:val="0"/>
        <w:bidi w:val="0"/>
        <w:spacing w:line="560" w:lineRule="exact"/>
        <w:ind w:firstLine="560" w:firstLineChars="200"/>
        <w:textAlignment w:val="auto"/>
        <w:rPr>
          <w:rFonts w:hint="default"/>
          <w:lang w:val="zh-CN" w:eastAsia="zh-CN"/>
        </w:rPr>
      </w:pPr>
      <w:r>
        <w:rPr>
          <w:rFonts w:hint="eastAsia" w:ascii="Times New Roman" w:hAnsi="Times New Roman" w:eastAsia="方正仿宋_GBK"/>
          <w:sz w:val="28"/>
          <w:szCs w:val="28"/>
        </w:rPr>
        <w:t>签订合同发票送达后</w:t>
      </w:r>
      <w:r>
        <w:rPr>
          <w:rFonts w:hint="eastAsia" w:ascii="Times New Roman" w:hAnsi="Times New Roman" w:eastAsia="方正仿宋_GBK"/>
          <w:sz w:val="28"/>
          <w:szCs w:val="28"/>
          <w:lang w:val="en-US" w:eastAsia="zh-CN"/>
        </w:rPr>
        <w:t>15个工作日内支付</w:t>
      </w:r>
      <w:r>
        <w:rPr>
          <w:rFonts w:hint="eastAsia" w:ascii="Times New Roman" w:hAnsi="Times New Roman" w:eastAsia="方正仿宋_GBK"/>
          <w:sz w:val="28"/>
          <w:szCs w:val="28"/>
        </w:rPr>
        <w:t>合同价款</w:t>
      </w:r>
      <w:r>
        <w:rPr>
          <w:rFonts w:hint="eastAsia" w:ascii="Times New Roman" w:hAnsi="Times New Roman" w:eastAsia="方正仿宋_GBK"/>
          <w:sz w:val="28"/>
          <w:szCs w:val="28"/>
          <w:lang w:val="en-US" w:eastAsia="zh-CN"/>
        </w:rPr>
        <w:t>的50%，</w:t>
      </w:r>
      <w:r>
        <w:rPr>
          <w:rFonts w:hint="default" w:ascii="Times New Roman" w:hAnsi="Times New Roman" w:eastAsia="方正仿宋_GBK"/>
          <w:sz w:val="28"/>
          <w:szCs w:val="28"/>
        </w:rPr>
        <w:t>出具测评报告发票送达后</w:t>
      </w:r>
      <w:r>
        <w:rPr>
          <w:rFonts w:hint="default" w:ascii="Times New Roman" w:hAnsi="Times New Roman" w:eastAsia="方正仿宋_GBK"/>
          <w:sz w:val="28"/>
          <w:szCs w:val="28"/>
          <w:lang w:val="en-US" w:eastAsia="zh-CN"/>
        </w:rPr>
        <w:t>15</w:t>
      </w:r>
      <w:r>
        <w:rPr>
          <w:rFonts w:hint="default" w:ascii="Times New Roman" w:hAnsi="Times New Roman" w:eastAsia="方正仿宋_GBK"/>
          <w:sz w:val="28"/>
          <w:szCs w:val="28"/>
        </w:rPr>
        <w:t>个工作日内支付</w:t>
      </w:r>
      <w:r>
        <w:rPr>
          <w:rFonts w:hint="eastAsia" w:ascii="Times New Roman" w:hAnsi="Times New Roman" w:eastAsia="方正仿宋_GBK"/>
          <w:sz w:val="28"/>
          <w:szCs w:val="28"/>
        </w:rPr>
        <w:t>余款</w:t>
      </w:r>
      <w:r>
        <w:rPr>
          <w:rFonts w:hint="eastAsia" w:ascii="Times New Roman" w:hAnsi="Times New Roman" w:eastAsia="方正仿宋_GBK"/>
          <w:sz w:val="28"/>
          <w:szCs w:val="28"/>
          <w:lang w:val="en-US" w:eastAsia="zh-CN"/>
        </w:rPr>
        <w:t>50</w:t>
      </w:r>
      <w:r>
        <w:rPr>
          <w:rFonts w:hint="default" w:ascii="Times New Roman" w:hAnsi="Times New Roman" w:eastAsia="方正仿宋_GBK"/>
          <w:sz w:val="28"/>
          <w:szCs w:val="28"/>
        </w:rPr>
        <w:t>%</w:t>
      </w:r>
      <w:r>
        <w:rPr>
          <w:rFonts w:hint="default" w:ascii="Times New Roman" w:hAnsi="Times New Roman" w:eastAsia="方正仿宋_GBK"/>
          <w:sz w:val="28"/>
          <w:szCs w:val="28"/>
          <w:lang w:val="en-US" w:eastAsia="zh-CN"/>
        </w:rPr>
        <w:t>。</w:t>
      </w:r>
    </w:p>
    <w:p w14:paraId="276896C9">
      <w:pPr>
        <w:keepNext w:val="0"/>
        <w:keepLines w:val="0"/>
        <w:pageBreakBefore w:val="0"/>
        <w:widowControl w:val="0"/>
        <w:tabs>
          <w:tab w:val="left" w:pos="5325"/>
        </w:tabs>
        <w:kinsoku/>
        <w:wordWrap/>
        <w:overflowPunct/>
        <w:topLinePunct w:val="0"/>
        <w:bidi w:val="0"/>
        <w:snapToGrid w:val="0"/>
        <w:spacing w:line="560" w:lineRule="exact"/>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w:t>
      </w:r>
      <w:r>
        <w:rPr>
          <w:rFonts w:ascii="黑体" w:hAnsi="黑体" w:eastAsia="黑体" w:cs="Times New Roman"/>
          <w:sz w:val="32"/>
          <w:szCs w:val="32"/>
        </w:rPr>
        <w:t>投标供应商资格要求</w:t>
      </w:r>
    </w:p>
    <w:p w14:paraId="7C69188B">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符合《中华人民共和国政府采购法》第22条规定；</w:t>
      </w:r>
    </w:p>
    <w:p w14:paraId="50552E30">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具有合法经营资格并能承担完全民事责任的独立法人；</w:t>
      </w:r>
    </w:p>
    <w:p w14:paraId="76202AE7">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val="zh-CN"/>
        </w:rPr>
        <w:t>未被“信用中国”网站列入失信被执行人、重大税收违法案件当事人名单、政府采购严重失信行为记录名单；</w:t>
      </w:r>
    </w:p>
    <w:p w14:paraId="6EE46BD3">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4、供应商必须持有有效期内的国家密码管理局颁发的商用密码检测机构资质证书；</w:t>
      </w:r>
    </w:p>
    <w:p w14:paraId="7357A41D">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5、本项目不接受联合体参与投标。</w:t>
      </w:r>
    </w:p>
    <w:p w14:paraId="6B210DA8">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Times New Roman" w:hAnsi="Times New Roman" w:eastAsia="方正仿宋_GBK"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w:t>
      </w:r>
      <w:r>
        <w:rPr>
          <w:rFonts w:hint="eastAsia" w:ascii="黑体" w:hAnsi="黑体" w:eastAsia="黑体" w:cs="Times New Roman"/>
          <w:kern w:val="2"/>
          <w:sz w:val="32"/>
          <w:szCs w:val="32"/>
          <w:lang w:val="en-US" w:eastAsia="zh-CN" w:bidi="ar-SA"/>
        </w:rPr>
        <w:t>投标文件的组成</w:t>
      </w:r>
    </w:p>
    <w:p w14:paraId="44ABBD9C">
      <w:pPr>
        <w:keepNext w:val="0"/>
        <w:keepLines w:val="0"/>
        <w:pageBreakBefore w:val="0"/>
        <w:widowControl w:val="0"/>
        <w:kinsoku/>
        <w:wordWrap/>
        <w:overflowPunct/>
        <w:topLinePunct w:val="0"/>
        <w:bidi w:val="0"/>
        <w:snapToGrid w:val="0"/>
        <w:spacing w:line="5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投标</w:t>
      </w:r>
      <w:r>
        <w:rPr>
          <w:rFonts w:hint="eastAsia" w:ascii="方正仿宋_GBK" w:hAnsi="方正仿宋_GBK" w:eastAsia="方正仿宋_GBK" w:cs="方正仿宋_GBK"/>
          <w:b/>
          <w:sz w:val="28"/>
          <w:szCs w:val="28"/>
        </w:rPr>
        <w:t>文件由商务技术响应文件、价格响应文件</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部分组成。</w:t>
      </w:r>
    </w:p>
    <w:p w14:paraId="2E62B4B2">
      <w:pPr>
        <w:keepNext w:val="0"/>
        <w:keepLines w:val="0"/>
        <w:pageBreakBefore w:val="0"/>
        <w:widowControl w:val="0"/>
        <w:kinsoku/>
        <w:wordWrap/>
        <w:overflowPunct/>
        <w:topLinePunct w:val="0"/>
        <w:bidi w:val="0"/>
        <w:snapToGrid w:val="0"/>
        <w:spacing w:line="560" w:lineRule="exact"/>
        <w:ind w:firstLine="562" w:firstLineChars="200"/>
        <w:contextualSpacing/>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color w:val="000000" w:themeColor="text1"/>
          <w:sz w:val="28"/>
          <w:szCs w:val="28"/>
          <w14:textFill>
            <w14:solidFill>
              <w14:schemeClr w14:val="tx1"/>
            </w14:solidFill>
          </w14:textFill>
        </w:rPr>
        <w:t>商务技术</w:t>
      </w:r>
      <w:r>
        <w:rPr>
          <w:rFonts w:hint="eastAsia" w:ascii="方正仿宋_GBK" w:hAnsi="方正仿宋_GBK" w:eastAsia="方正仿宋_GBK" w:cs="方正仿宋_GBK"/>
          <w:b/>
          <w:sz w:val="28"/>
          <w:szCs w:val="28"/>
        </w:rPr>
        <w:t>响应文件（</w:t>
      </w:r>
      <w:r>
        <w:rPr>
          <w:rFonts w:hint="eastAsia" w:ascii="方正仿宋_GBK" w:hAnsi="方正仿宋_GBK" w:eastAsia="方正仿宋_GBK" w:cs="方正仿宋_GBK"/>
          <w:b/>
          <w:color w:val="000000" w:themeColor="text1"/>
          <w:sz w:val="28"/>
          <w:szCs w:val="28"/>
          <w14:textFill>
            <w14:solidFill>
              <w14:schemeClr w14:val="tx1"/>
            </w14:solidFill>
          </w14:textFill>
        </w:rPr>
        <w:t>不得出现报价</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sz w:val="28"/>
          <w:szCs w:val="28"/>
        </w:rPr>
        <w:t>一正</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副，单独密封装订）：</w:t>
      </w:r>
    </w:p>
    <w:p w14:paraId="329C2933">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zh-CN" w:eastAsia="zh-CN" w:bidi="ar-SA"/>
        </w:rPr>
        <w:t>1、法定代表人参加投标的，提供法定代表人身份证复印件（加盖公章）；授权委托人参加投标的，提供法定代表人授权委托书、法定代表人和授权委托人身份证复印件（加盖公章）；</w:t>
      </w:r>
    </w:p>
    <w:p w14:paraId="2F063336">
      <w:pPr>
        <w:pStyle w:val="2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营业执照复印件（加盖公章）；</w:t>
      </w:r>
    </w:p>
    <w:p w14:paraId="45DBF420">
      <w:pPr>
        <w:pStyle w:val="2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3、信用中国信用信息报告</w:t>
      </w:r>
      <w:r>
        <w:rPr>
          <w:rFonts w:hint="eastAsia" w:ascii="Times New Roman" w:hAnsi="Times New Roman" w:eastAsia="方正仿宋_GBK" w:cs="Times New Roman"/>
          <w:kern w:val="2"/>
          <w:sz w:val="28"/>
          <w:szCs w:val="28"/>
          <w:lang w:val="zh-CN" w:eastAsia="zh-CN" w:bidi="ar-SA"/>
        </w:rPr>
        <w:t>（加盖公章）；</w:t>
      </w:r>
    </w:p>
    <w:p w14:paraId="7FF6133A">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4、有效期内的国家密码管理局颁发的商用密码检测机构资质证书</w:t>
      </w:r>
      <w:r>
        <w:rPr>
          <w:rFonts w:hint="eastAsia" w:ascii="Times New Roman" w:hAnsi="Times New Roman" w:eastAsia="方正仿宋_GBK" w:cs="Times New Roman"/>
          <w:kern w:val="2"/>
          <w:sz w:val="28"/>
          <w:szCs w:val="28"/>
          <w:lang w:val="zh-CN" w:eastAsia="zh-CN" w:bidi="ar-SA"/>
        </w:rPr>
        <w:t>（加盖公章）</w:t>
      </w:r>
      <w:r>
        <w:rPr>
          <w:rFonts w:hint="eastAsia" w:ascii="Times New Roman" w:hAnsi="Times New Roman" w:eastAsia="方正仿宋_GBK" w:cs="Times New Roman"/>
          <w:sz w:val="28"/>
          <w:szCs w:val="28"/>
          <w:lang w:val="en-US" w:eastAsia="zh-CN"/>
        </w:rPr>
        <w:t>；</w:t>
      </w:r>
    </w:p>
    <w:p w14:paraId="7A124D39">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5、</w:t>
      </w:r>
      <w:r>
        <w:rPr>
          <w:rFonts w:hint="eastAsia" w:ascii="Times New Roman" w:hAnsi="Times New Roman" w:eastAsia="方正仿宋_GBK" w:cs="Times New Roman"/>
          <w:kern w:val="2"/>
          <w:sz w:val="28"/>
          <w:szCs w:val="28"/>
          <w:lang w:val="zh-CN" w:eastAsia="zh-CN" w:bidi="ar-SA"/>
        </w:rPr>
        <w:t>投标承诺函（</w:t>
      </w:r>
      <w:r>
        <w:rPr>
          <w:rFonts w:hint="eastAsia" w:ascii="Times New Roman" w:hAnsi="Times New Roman" w:eastAsia="方正仿宋_GBK" w:cs="Times New Roman"/>
          <w:kern w:val="2"/>
          <w:sz w:val="28"/>
          <w:szCs w:val="28"/>
          <w:lang w:val="en-US" w:eastAsia="zh-CN" w:bidi="ar-SA"/>
        </w:rPr>
        <w:t>见附件一</w:t>
      </w:r>
      <w:r>
        <w:rPr>
          <w:rFonts w:hint="eastAsia" w:ascii="Times New Roman" w:hAnsi="Times New Roman" w:eastAsia="方正仿宋_GBK" w:cs="Times New Roman"/>
          <w:kern w:val="2"/>
          <w:sz w:val="28"/>
          <w:szCs w:val="28"/>
          <w:lang w:val="zh-CN" w:eastAsia="zh-CN" w:bidi="ar-SA"/>
        </w:rPr>
        <w:t>）；</w:t>
      </w:r>
    </w:p>
    <w:p w14:paraId="6B8002E6">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6、响应方案，</w:t>
      </w:r>
      <w:r>
        <w:rPr>
          <w:rFonts w:hint="eastAsia" w:ascii="Times New Roman" w:hAnsi="Times New Roman" w:eastAsia="方正仿宋_GBK" w:cs="Times New Roman"/>
          <w:kern w:val="2"/>
          <w:sz w:val="28"/>
          <w:szCs w:val="28"/>
          <w:lang w:val="zh-CN" w:eastAsia="zh-CN" w:bidi="ar-SA"/>
        </w:rPr>
        <w:t>为方便评委评审，请投标人按评标办法中所涉及的事项顺序进行编制，可以补充相关材料；</w:t>
      </w:r>
    </w:p>
    <w:p w14:paraId="77B65F0F">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7</w:t>
      </w:r>
      <w:r>
        <w:rPr>
          <w:rFonts w:hint="eastAsia" w:ascii="Times New Roman" w:hAnsi="Times New Roman" w:eastAsia="方正仿宋_GBK" w:cs="Times New Roman"/>
          <w:kern w:val="2"/>
          <w:sz w:val="28"/>
          <w:szCs w:val="28"/>
          <w:lang w:val="zh-CN" w:eastAsia="zh-CN" w:bidi="ar-SA"/>
        </w:rPr>
        <w:t>、评标办法中未涉及的事项，投标人认为需要提交的其他资料。</w:t>
      </w:r>
    </w:p>
    <w:p w14:paraId="521E5D19">
      <w:pPr>
        <w:pStyle w:val="14"/>
        <w:keepNext w:val="0"/>
        <w:keepLines w:val="0"/>
        <w:pageBreakBefore w:val="0"/>
        <w:widowControl w:val="0"/>
        <w:kinsoku/>
        <w:wordWrap/>
        <w:overflowPunct/>
        <w:topLinePunct w:val="0"/>
        <w:bidi w:val="0"/>
        <w:spacing w:after="0" w:line="560" w:lineRule="exact"/>
        <w:ind w:left="0" w:leftChars="0" w:firstLine="281" w:firstLineChars="100"/>
        <w:textAlignment w:val="auto"/>
        <w:rPr>
          <w:rFonts w:hint="eastAsia" w:eastAsia="仿宋"/>
          <w:sz w:val="28"/>
          <w:szCs w:val="28"/>
          <w:lang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价格响应文件</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单本</w:t>
      </w:r>
      <w:r>
        <w:rPr>
          <w:rFonts w:hint="eastAsia" w:ascii="仿宋" w:hAnsi="仿宋" w:eastAsia="仿宋" w:cs="仿宋"/>
          <w:b/>
          <w:sz w:val="28"/>
          <w:szCs w:val="28"/>
        </w:rPr>
        <w:t>单独密封装订</w:t>
      </w:r>
      <w:r>
        <w:rPr>
          <w:rFonts w:hint="eastAsia" w:ascii="仿宋" w:hAnsi="仿宋" w:eastAsia="仿宋" w:cs="仿宋"/>
          <w:b/>
          <w:sz w:val="28"/>
          <w:szCs w:val="28"/>
          <w:lang w:eastAsia="zh-CN"/>
        </w:rPr>
        <w:t>）</w:t>
      </w:r>
    </w:p>
    <w:p w14:paraId="4ED64D31">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1</w:t>
      </w:r>
      <w:r>
        <w:rPr>
          <w:rFonts w:hint="eastAsia" w:ascii="Times New Roman" w:hAnsi="Times New Roman" w:eastAsia="方正仿宋_GBK" w:cs="Times New Roman"/>
          <w:kern w:val="2"/>
          <w:sz w:val="28"/>
          <w:szCs w:val="28"/>
          <w:lang w:val="zh-CN" w:eastAsia="zh-CN" w:bidi="ar-SA"/>
        </w:rPr>
        <w:t>、</w:t>
      </w:r>
      <w:r>
        <w:rPr>
          <w:rFonts w:hint="eastAsia" w:ascii="Times New Roman" w:hAnsi="Times New Roman" w:eastAsia="方正仿宋_GBK" w:cs="Times New Roman"/>
          <w:kern w:val="2"/>
          <w:sz w:val="28"/>
          <w:szCs w:val="28"/>
          <w:lang w:val="en-US" w:eastAsia="zh-CN" w:bidi="ar-SA"/>
        </w:rPr>
        <w:t>分项</w:t>
      </w:r>
      <w:r>
        <w:rPr>
          <w:rFonts w:hint="eastAsia" w:ascii="Times New Roman" w:hAnsi="Times New Roman" w:eastAsia="方正仿宋_GBK" w:cs="Times New Roman"/>
          <w:kern w:val="2"/>
          <w:sz w:val="28"/>
          <w:szCs w:val="28"/>
          <w:lang w:val="zh-CN" w:eastAsia="zh-CN" w:bidi="ar-SA"/>
        </w:rPr>
        <w:t>明细报价</w:t>
      </w:r>
      <w:r>
        <w:rPr>
          <w:rFonts w:hint="eastAsia" w:ascii="Times New Roman" w:hAnsi="Times New Roman" w:eastAsia="方正仿宋_GBK" w:cs="Times New Roman"/>
          <w:kern w:val="2"/>
          <w:sz w:val="28"/>
          <w:szCs w:val="28"/>
          <w:lang w:val="en-US" w:eastAsia="zh-CN" w:bidi="ar-SA"/>
        </w:rPr>
        <w:t>表；</w:t>
      </w:r>
    </w:p>
    <w:p w14:paraId="78B7B98F">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、磋商响应报价表（见附件</w:t>
      </w:r>
      <w:r>
        <w:rPr>
          <w:rFonts w:hint="eastAsia" w:ascii="Times New Roman" w:hAnsi="Times New Roman" w:eastAsia="方正仿宋_GBK" w:cs="Times New Roman"/>
          <w:kern w:val="2"/>
          <w:sz w:val="28"/>
          <w:szCs w:val="28"/>
          <w:lang w:val="en-US" w:eastAsia="zh-CN" w:bidi="ar-SA"/>
        </w:rPr>
        <w:t>二</w:t>
      </w:r>
      <w:r>
        <w:rPr>
          <w:rFonts w:hint="eastAsia" w:ascii="Times New Roman" w:hAnsi="Times New Roman" w:eastAsia="方正仿宋_GBK" w:cs="Times New Roman"/>
          <w:kern w:val="2"/>
          <w:sz w:val="28"/>
          <w:szCs w:val="28"/>
          <w:lang w:val="zh-CN" w:eastAsia="zh-CN" w:bidi="ar-SA"/>
        </w:rPr>
        <w:t>）。</w:t>
      </w:r>
    </w:p>
    <w:p w14:paraId="44BF432C">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八、评分标准</w:t>
      </w:r>
    </w:p>
    <w:p w14:paraId="59E4E0D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eastAsia="zh-CN"/>
        </w:rPr>
        <w:t>按照供应商</w:t>
      </w:r>
      <w:r>
        <w:rPr>
          <w:rFonts w:hint="eastAsia" w:ascii="方正仿宋_GBK" w:hAnsi="方正仿宋_GBK" w:eastAsia="方正仿宋_GBK" w:cs="方正仿宋_GBK"/>
          <w:sz w:val="28"/>
          <w:szCs w:val="28"/>
          <w:lang w:val="en-US" w:eastAsia="zh-CN"/>
        </w:rPr>
        <w:t>提交的</w:t>
      </w:r>
      <w:r>
        <w:rPr>
          <w:rFonts w:hint="eastAsia" w:ascii="方正仿宋_GBK" w:hAnsi="方正仿宋_GBK" w:eastAsia="方正仿宋_GBK" w:cs="方正仿宋_GBK"/>
          <w:sz w:val="28"/>
          <w:szCs w:val="28"/>
        </w:rPr>
        <w:t>响应文件和最后报价进行综合评分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最终得分最高的为第一成交候选人，在分数相同的情况下由采购人代表现场抽签确定成交候选人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若第一成交候选人弃标的，由第二成交候选人成交，依次类推。</w:t>
      </w:r>
    </w:p>
    <w:p w14:paraId="480F3DF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商务技术部分评审结束后，再开启最后报价计算分值。总分值为100分，加分和减分因素除外。</w:t>
      </w:r>
    </w:p>
    <w:p w14:paraId="5CB3644F">
      <w:pPr>
        <w:keepNext w:val="0"/>
        <w:keepLines w:val="0"/>
        <w:pageBreakBefore w:val="0"/>
        <w:widowControl w:val="0"/>
        <w:kinsoku/>
        <w:wordWrap/>
        <w:overflowPunct/>
        <w:topLinePunct w:val="0"/>
        <w:bidi w:val="0"/>
        <w:snapToGrid w:val="0"/>
        <w:spacing w:line="560" w:lineRule="exact"/>
        <w:ind w:left="2" w:firstLine="562" w:firstLineChars="200"/>
        <w:jc w:val="left"/>
        <w:textAlignment w:val="auto"/>
        <w:rPr>
          <w:rFonts w:hint="default" w:ascii="Times New Roman" w:hAnsi="Times New Roman" w:eastAsia="方正仿宋_GBK" w:cs="Times New Roman"/>
          <w:color w:val="000000" w:themeColor="text1"/>
          <w:sz w:val="28"/>
          <w:szCs w:val="28"/>
          <w:lang w:val="zh-CN"/>
          <w14:textFill>
            <w14:solidFill>
              <w14:schemeClr w14:val="tx1"/>
            </w14:solidFill>
          </w14:textFill>
        </w:rPr>
      </w:pPr>
      <w:r>
        <w:rPr>
          <w:rFonts w:hint="default" w:ascii="Times New Roman" w:hAnsi="Times New Roman" w:eastAsia="方正仿宋_GBK" w:cs="Times New Roman"/>
          <w:b/>
          <w:color w:val="000000" w:themeColor="text1"/>
          <w:sz w:val="28"/>
          <w:szCs w:val="28"/>
          <w:lang w:val="zh-CN"/>
          <w14:textFill>
            <w14:solidFill>
              <w14:schemeClr w14:val="tx1"/>
            </w14:solidFill>
          </w14:textFill>
        </w:rPr>
        <w:t>商务技术分</w:t>
      </w:r>
      <w:r>
        <w:rPr>
          <w:rFonts w:hint="default" w:ascii="Times New Roman" w:hAnsi="Times New Roman" w:eastAsia="方正仿宋_GBK" w:cs="Times New Roman"/>
          <w:color w:val="000000" w:themeColor="text1"/>
          <w:sz w:val="28"/>
          <w:szCs w:val="28"/>
          <w:lang w:val="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w:t>
      </w:r>
      <w:r>
        <w:rPr>
          <w:rFonts w:hint="default" w:ascii="Times New Roman" w:hAnsi="Times New Roman" w:eastAsia="方正仿宋_GBK" w:cs="Times New Roman"/>
          <w:color w:val="000000" w:themeColor="text1"/>
          <w:sz w:val="28"/>
          <w:szCs w:val="28"/>
          <w14:textFill>
            <w14:solidFill>
              <w14:schemeClr w14:val="tx1"/>
            </w14:solidFill>
          </w14:textFill>
        </w:rPr>
        <w:t>0</w:t>
      </w:r>
      <w:r>
        <w:rPr>
          <w:rFonts w:hint="default" w:ascii="Times New Roman" w:hAnsi="Times New Roman" w:eastAsia="方正仿宋_GBK" w:cs="Times New Roman"/>
          <w:color w:val="000000" w:themeColor="text1"/>
          <w:sz w:val="28"/>
          <w:szCs w:val="28"/>
          <w:lang w:val="zh-CN"/>
          <w14:textFill>
            <w14:solidFill>
              <w14:schemeClr w14:val="tx1"/>
            </w14:solidFill>
          </w14:textFill>
        </w:rPr>
        <w:t>分</w:t>
      </w:r>
    </w:p>
    <w:p w14:paraId="12CBED88">
      <w:pPr>
        <w:keepNext w:val="0"/>
        <w:keepLines w:val="0"/>
        <w:pageBreakBefore w:val="0"/>
        <w:widowControl w:val="0"/>
        <w:kinsoku/>
        <w:wordWrap/>
        <w:overflowPunct/>
        <w:topLinePunct w:val="0"/>
        <w:bidi w:val="0"/>
        <w:snapToGrid w:val="0"/>
        <w:spacing w:line="560" w:lineRule="exact"/>
        <w:ind w:firstLine="560" w:firstLineChars="200"/>
        <w:contextualSpacing/>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各投标人得分为评委会成员评分的算术平均分，分值保留小数点后两位。</w:t>
      </w:r>
    </w:p>
    <w:tbl>
      <w:tblPr>
        <w:tblStyle w:val="15"/>
        <w:tblW w:w="8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1"/>
        <w:gridCol w:w="7584"/>
      </w:tblGrid>
      <w:tr w14:paraId="5184B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361" w:type="dxa"/>
            <w:noWrap/>
            <w:vAlign w:val="center"/>
          </w:tcPr>
          <w:p w14:paraId="7A2950BE">
            <w:pPr>
              <w:spacing w:line="400" w:lineRule="exact"/>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项目</w:t>
            </w:r>
          </w:p>
        </w:tc>
        <w:tc>
          <w:tcPr>
            <w:tcW w:w="7584" w:type="dxa"/>
            <w:noWrap/>
            <w:vAlign w:val="center"/>
          </w:tcPr>
          <w:p w14:paraId="3E8C08FA">
            <w:pPr>
              <w:spacing w:line="400" w:lineRule="exact"/>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评审细则</w:t>
            </w:r>
          </w:p>
        </w:tc>
      </w:tr>
      <w:tr w14:paraId="65F9B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restart"/>
            <w:shd w:val="clear" w:color="auto" w:fill="auto"/>
            <w:noWrap/>
            <w:vAlign w:val="center"/>
          </w:tcPr>
          <w:p w14:paraId="4DBF028A">
            <w:pPr>
              <w:bidi w:val="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bidi="ar"/>
              </w:rPr>
              <w:t>测评</w:t>
            </w:r>
            <w:r>
              <w:rPr>
                <w:rFonts w:hint="default" w:ascii="Times New Roman" w:hAnsi="Times New Roman" w:eastAsia="方正仿宋_GBK" w:cs="Times New Roman"/>
                <w:color w:val="000000"/>
                <w:kern w:val="0"/>
                <w:sz w:val="24"/>
                <w:szCs w:val="24"/>
                <w:lang w:bidi="ar"/>
              </w:rPr>
              <w:t>方案</w:t>
            </w:r>
            <w:r>
              <w:rPr>
                <w:rFonts w:hint="default" w:ascii="Times New Roman" w:hAnsi="Times New Roman" w:eastAsia="方正仿宋_GBK" w:cs="Times New Roman"/>
                <w:color w:val="000000"/>
                <w:kern w:val="0"/>
                <w:sz w:val="24"/>
                <w:szCs w:val="24"/>
                <w:lang w:eastAsia="zh-CN" w:bidi="ar"/>
              </w:rPr>
              <w:t>（</w:t>
            </w:r>
            <w:r>
              <w:rPr>
                <w:rFonts w:hint="default" w:ascii="Times New Roman" w:hAnsi="Times New Roman" w:eastAsia="方正仿宋_GBK" w:cs="Times New Roman"/>
                <w:color w:val="000000"/>
                <w:kern w:val="0"/>
                <w:sz w:val="24"/>
                <w:szCs w:val="24"/>
                <w:lang w:val="en-US" w:eastAsia="zh-CN" w:bidi="ar"/>
              </w:rPr>
              <w:t>32分</w:t>
            </w:r>
            <w:r>
              <w:rPr>
                <w:rFonts w:hint="default" w:ascii="Times New Roman" w:hAnsi="Times New Roman" w:eastAsia="方正仿宋_GBK" w:cs="Times New Roman"/>
                <w:color w:val="000000"/>
                <w:kern w:val="0"/>
                <w:sz w:val="24"/>
                <w:szCs w:val="24"/>
                <w:lang w:eastAsia="zh-CN" w:bidi="ar"/>
              </w:rPr>
              <w:t>）</w:t>
            </w:r>
          </w:p>
        </w:tc>
        <w:tc>
          <w:tcPr>
            <w:tcW w:w="7584" w:type="dxa"/>
            <w:shd w:val="clear" w:color="auto" w:fill="auto"/>
            <w:noWrap/>
            <w:vAlign w:val="center"/>
          </w:tcPr>
          <w:p w14:paraId="38C9CCAE">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项目需求理解：</w:t>
            </w:r>
          </w:p>
          <w:p w14:paraId="19724F4A">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根据供应商对项目整体情况、测评内容的理解的完整性和合理性进行评分；</w:t>
            </w:r>
          </w:p>
          <w:p w14:paraId="4ACBAFDD">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对项目整体情况、测评内容了解全面完整，内容理解透彻得8分；</w:t>
            </w:r>
          </w:p>
          <w:p w14:paraId="6BD25E5D">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基本了解项目情况，对测评内容理解准确得5分；</w:t>
            </w:r>
          </w:p>
          <w:p w14:paraId="17A2046E">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完全照搬磋商文件，除磋商文件提供的内容外无任何针对性的理解得2分；</w:t>
            </w:r>
          </w:p>
          <w:p w14:paraId="4B26A3C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方案相关内容缺失，不具备可行性得0分；</w:t>
            </w:r>
          </w:p>
        </w:tc>
      </w:tr>
      <w:tr w14:paraId="73244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13238E2D">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4A4EEAB3">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质量控制：</w:t>
            </w:r>
          </w:p>
          <w:p w14:paraId="3A89BA85">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对供应商提供的项目质量管理、测评方法及工具的合理性、针对性进行综合评分；</w:t>
            </w:r>
            <w:r>
              <w:rPr>
                <w:rFonts w:hint="default" w:ascii="Times New Roman" w:hAnsi="Times New Roman" w:eastAsia="方正仿宋_GBK" w:cs="Times New Roman"/>
                <w:color w:val="000000"/>
                <w:kern w:val="0"/>
                <w:sz w:val="24"/>
                <w:szCs w:val="24"/>
                <w:lang w:val="en-US" w:eastAsia="zh-CN" w:bidi="ar"/>
              </w:rPr>
              <w:br w:type="textWrapping"/>
            </w:r>
            <w:r>
              <w:rPr>
                <w:rFonts w:hint="default" w:ascii="Times New Roman" w:hAnsi="Times New Roman" w:eastAsia="方正仿宋_GBK" w:cs="Times New Roman"/>
                <w:color w:val="000000"/>
                <w:kern w:val="0"/>
                <w:sz w:val="24"/>
                <w:szCs w:val="24"/>
                <w:lang w:val="en-US" w:eastAsia="zh-CN" w:bidi="ar"/>
              </w:rPr>
              <w:t>方案完善，具备非常好的可行性得8分；</w:t>
            </w:r>
          </w:p>
          <w:p w14:paraId="01241557">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方案一般，具备一般的可行性得5分；</w:t>
            </w:r>
          </w:p>
          <w:p w14:paraId="7B2D4AC7">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方案相关内容缺失，不具备可行性得0分。</w:t>
            </w:r>
          </w:p>
        </w:tc>
      </w:tr>
      <w:tr w14:paraId="74BCA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3F7660C0">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5A33E77C">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组织架构：</w:t>
            </w:r>
          </w:p>
          <w:p w14:paraId="50CE6A73">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根据供应商提供的服务组织架构的完整性和合理性进行评分；</w:t>
            </w:r>
          </w:p>
          <w:p w14:paraId="1FFFCFE7">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架构优秀，分工合理，具备非常好的可行性得8分；</w:t>
            </w:r>
          </w:p>
          <w:p w14:paraId="748318B7">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架构完整，具备一般的可行性得5分；</w:t>
            </w:r>
          </w:p>
          <w:p w14:paraId="5819075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架构相关内容缺失，不具备可行性得0分；</w:t>
            </w:r>
          </w:p>
        </w:tc>
      </w:tr>
      <w:tr w14:paraId="217C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0AC18E90">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4939BE04">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测评实施计划：</w:t>
            </w:r>
          </w:p>
          <w:p w14:paraId="602BB1BB">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根据供应商提供的测评实施计划的完整性和合理性进行评分；</w:t>
            </w:r>
          </w:p>
          <w:p w14:paraId="12E35C5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实施计划合理完整，具备非常好的可行性得8分；</w:t>
            </w:r>
          </w:p>
          <w:p w14:paraId="30F5E733">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实施计划完整，具备良好的可行性得5分；</w:t>
            </w:r>
          </w:p>
          <w:p w14:paraId="2DE1C631">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实施计划一般，具备一般的可行性得3分；</w:t>
            </w:r>
          </w:p>
          <w:p w14:paraId="70075140">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安排相关内容缺失，不具备可行性得0分；</w:t>
            </w:r>
          </w:p>
          <w:p w14:paraId="12541B8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p>
        </w:tc>
      </w:tr>
      <w:tr w14:paraId="091A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restart"/>
            <w:shd w:val="clear" w:color="auto" w:fill="auto"/>
            <w:noWrap/>
            <w:vAlign w:val="center"/>
          </w:tcPr>
          <w:p w14:paraId="403C7368">
            <w:pPr>
              <w:bidi w:val="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履约能力（18分）</w:t>
            </w:r>
          </w:p>
          <w:p w14:paraId="7825B9A8">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06366756">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供应商具有省级及以上检验检测机构资质认定证书（CMA证书）得6分。（提供证书复印件并加盖投标人单位公章）</w:t>
            </w:r>
          </w:p>
        </w:tc>
      </w:tr>
      <w:tr w14:paraId="6C30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5BF703B7">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2C479E3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供应商具有中国合格评定国家认可委员会颁发的实验室证书（CNAS证书）得6分。（提供证书复印件并加盖投标人单位公章）</w:t>
            </w:r>
          </w:p>
        </w:tc>
      </w:tr>
      <w:tr w14:paraId="44651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47A0B5EA">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center"/>
          </w:tcPr>
          <w:p w14:paraId="65F7168F">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供应商具有CCRC信息安全服务资质认证（风险评估）证书得6分。（提供证书复印件并加盖投标人单位公章）</w:t>
            </w:r>
          </w:p>
        </w:tc>
      </w:tr>
      <w:tr w14:paraId="564E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restart"/>
            <w:shd w:val="clear" w:color="auto" w:fill="auto"/>
            <w:noWrap/>
            <w:vAlign w:val="center"/>
          </w:tcPr>
          <w:p w14:paraId="73A00A2B">
            <w:pPr>
              <w:bidi w:val="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团队服务能力（31分）</w:t>
            </w:r>
          </w:p>
          <w:p w14:paraId="6F85E3A0">
            <w:pPr>
              <w:bidi w:val="0"/>
              <w:jc w:val="center"/>
              <w:rPr>
                <w:rFonts w:hint="default" w:ascii="Times New Roman" w:hAnsi="Times New Roman" w:eastAsia="方正仿宋_GBK" w:cs="Times New Roman"/>
                <w:color w:val="000000"/>
                <w:kern w:val="0"/>
                <w:sz w:val="24"/>
                <w:szCs w:val="24"/>
                <w:lang w:val="en-US" w:eastAsia="zh-CN" w:bidi="ar"/>
              </w:rPr>
            </w:pPr>
          </w:p>
        </w:tc>
        <w:tc>
          <w:tcPr>
            <w:tcW w:w="7584" w:type="dxa"/>
            <w:shd w:val="clear" w:color="auto" w:fill="auto"/>
            <w:noWrap/>
            <w:vAlign w:val="bottom"/>
          </w:tcPr>
          <w:p w14:paraId="7FF080FF">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项目经理除具有商用密码应用安全性评估从业人员证书，另外：</w:t>
            </w:r>
          </w:p>
          <w:p w14:paraId="38F81DF4">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（1）具有信息系统项目管理师证书（软考高级）得3分；</w:t>
            </w:r>
          </w:p>
          <w:p w14:paraId="15C9B400">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（2）具有系统分析师证书（软考高级）得3分</w:t>
            </w:r>
          </w:p>
          <w:p w14:paraId="5CD14317">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（3）具有电子信息工程高级工程师证书得3分；</w:t>
            </w:r>
          </w:p>
          <w:p w14:paraId="4FCFEC3D">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（4）具有信息安全工程师证书（软考中级）得3分；</w:t>
            </w:r>
          </w:p>
          <w:p w14:paraId="5B80C662">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（5）具有软件评测师证书（软考中级）得3分。</w:t>
            </w:r>
          </w:p>
          <w:p w14:paraId="4677B460">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（提供相关证书复印件加盖公章，并提供由供应商为其缴纳的近3个月社保证明复印件加盖公章，否则不得分）</w:t>
            </w:r>
          </w:p>
        </w:tc>
      </w:tr>
      <w:tr w14:paraId="27AD7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vMerge w:val="continue"/>
            <w:shd w:val="clear" w:color="auto" w:fill="auto"/>
            <w:noWrap/>
            <w:vAlign w:val="center"/>
          </w:tcPr>
          <w:p w14:paraId="3C28816C">
            <w:pPr>
              <w:bidi w:val="0"/>
              <w:jc w:val="center"/>
              <w:rPr>
                <w:rFonts w:hint="default" w:ascii="Times New Roman" w:hAnsi="Times New Roman" w:eastAsia="方正仿宋_GBK" w:cs="Times New Roman"/>
                <w:color w:val="auto"/>
                <w:sz w:val="24"/>
                <w:szCs w:val="24"/>
                <w:highlight w:val="none"/>
                <w:lang w:val="en-US" w:eastAsia="zh-CN"/>
              </w:rPr>
            </w:pPr>
          </w:p>
        </w:tc>
        <w:tc>
          <w:tcPr>
            <w:tcW w:w="7584" w:type="dxa"/>
            <w:shd w:val="clear" w:color="auto" w:fill="auto"/>
            <w:noWrap/>
            <w:vAlign w:val="bottom"/>
          </w:tcPr>
          <w:p w14:paraId="3E34AE00">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技术人员要求（不含项目经理）除具有商用密码应用安全性评估从业人员证书，另外：</w:t>
            </w:r>
          </w:p>
          <w:p w14:paraId="455FCF84">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（1）具有系统规划与管理师证书（软考高级）得4分；</w:t>
            </w:r>
          </w:p>
          <w:p w14:paraId="7B7BD92E">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（2）具有信息系统项目管理师资格证书（软考高级）得4分；</w:t>
            </w:r>
          </w:p>
          <w:p w14:paraId="121F66C1">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（3）具有软件设计师证书（软考中级）得4分；</w:t>
            </w:r>
          </w:p>
          <w:p w14:paraId="75CA6D06">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（4）具有信息安全保障人员认证证书得4分。</w:t>
            </w:r>
          </w:p>
          <w:p w14:paraId="44E808CA">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（提供相关证书复印件加盖公章，并提供由供应商为其缴纳的近3个月社保证明复印件加盖公章，否则不得分。不同人员持有同一证书的不重复得分。）</w:t>
            </w:r>
          </w:p>
        </w:tc>
      </w:tr>
      <w:tr w14:paraId="7A44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1" w:type="dxa"/>
            <w:shd w:val="clear" w:color="auto" w:fill="auto"/>
            <w:noWrap/>
            <w:vAlign w:val="center"/>
          </w:tcPr>
          <w:p w14:paraId="38B704DC">
            <w:pPr>
              <w:bidi w:val="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服务案例</w:t>
            </w:r>
          </w:p>
          <w:p w14:paraId="7948B520">
            <w:pPr>
              <w:bidi w:val="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（9分）</w:t>
            </w:r>
          </w:p>
        </w:tc>
        <w:tc>
          <w:tcPr>
            <w:tcW w:w="7584" w:type="dxa"/>
            <w:shd w:val="clear" w:color="auto" w:fill="auto"/>
            <w:noWrap/>
            <w:vAlign w:val="bottom"/>
          </w:tcPr>
          <w:p w14:paraId="024A9D30">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供应商提供自2021年1月1日以来密码测评项目的相关案例（案例主要标的物至少包含“密码应用安全性评估”），提供一个案例得3分，最高得9分，未按要求提供的不得分。</w:t>
            </w:r>
          </w:p>
          <w:p w14:paraId="4C39ABE4">
            <w:pPr>
              <w:widowControl/>
              <w:spacing w:line="240" w:lineRule="auto"/>
              <w:textAlignment w:val="bottom"/>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（供应商应提供有效合同扫描件，并加盖供应商公章，同一个案例不重复计分，未按要求提供不得分）</w:t>
            </w:r>
          </w:p>
        </w:tc>
      </w:tr>
    </w:tbl>
    <w:p w14:paraId="4DFCF51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方正仿宋_GBK" w:hAnsi="方正仿宋_GBK" w:eastAsia="方正仿宋_GBK" w:cs="方正仿宋_GBK"/>
          <w:b/>
          <w:color w:val="000000" w:themeColor="text1"/>
          <w:sz w:val="28"/>
          <w:szCs w:val="28"/>
          <w:lang w:val="zh-CN"/>
          <w14:textFill>
            <w14:solidFill>
              <w14:schemeClr w14:val="tx1"/>
            </w14:solidFill>
          </w14:textFill>
        </w:rPr>
      </w:pPr>
    </w:p>
    <w:p w14:paraId="10AE37E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价格分</w:t>
      </w: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0</w:t>
      </w:r>
      <w:r>
        <w:rPr>
          <w:rFonts w:hint="default" w:ascii="Times New Roman" w:hAnsi="Times New Roman" w:eastAsia="方正仿宋_GBK" w:cs="Times New Roman"/>
          <w:color w:val="000000" w:themeColor="text1"/>
          <w:sz w:val="28"/>
          <w:szCs w:val="28"/>
          <w:lang w:val="zh-CN"/>
          <w14:textFill>
            <w14:solidFill>
              <w14:schemeClr w14:val="tx1"/>
            </w14:solidFill>
          </w14:textFill>
        </w:rPr>
        <w:t>分</w:t>
      </w:r>
    </w:p>
    <w:p w14:paraId="71D69F0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价格标评标基准分为</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0分，满足招标文件要求且投标价格最低的投标报价为评标基准价，其价格分为满分（</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0分），其他投标人的价格分统一按照下列公式计算：</w:t>
      </w:r>
    </w:p>
    <w:p w14:paraId="7F5457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投标报价得分=(投标基准价／最后投标报价)×</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0×100%。</w:t>
      </w:r>
    </w:p>
    <w:p w14:paraId="33FBA4F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049AD8C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方正仿宋_GBK" w:cs="Times New Roman"/>
          <w:sz w:val="28"/>
          <w:szCs w:val="28"/>
        </w:rPr>
      </w:pPr>
    </w:p>
    <w:p w14:paraId="1E19578E">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rPr>
          <w:rFonts w:hint="default" w:ascii="Times New Roman" w:hAnsi="Times New Roman" w:eastAsia="方正仿宋_GBK" w:cs="Times New Roman"/>
          <w:color w:val="000000" w:themeColor="text1"/>
          <w:lang w:val="en-US" w:eastAsia="zh-CN"/>
          <w14:textFill>
            <w14:solidFill>
              <w14:schemeClr w14:val="tx1"/>
            </w14:solidFill>
          </w14:textFill>
        </w:rPr>
      </w:pPr>
    </w:p>
    <w:p w14:paraId="14EDF088">
      <w:pPr>
        <w:pStyle w:val="25"/>
        <w:keepNext w:val="0"/>
        <w:keepLines w:val="0"/>
        <w:pageBreakBefore w:val="0"/>
        <w:widowControl w:val="0"/>
        <w:tabs>
          <w:tab w:val="left" w:pos="5325"/>
        </w:tabs>
        <w:kinsoku/>
        <w:wordWrap/>
        <w:overflowPunct/>
        <w:topLinePunct w:val="0"/>
        <w:bidi w:val="0"/>
        <w:snapToGrid w:val="0"/>
        <w:spacing w:line="560" w:lineRule="exact"/>
        <w:ind w:left="641" w:firstLine="0" w:firstLineChars="0"/>
        <w:contextualSpacing/>
        <w:textAlignment w:val="auto"/>
        <w:rPr>
          <w:rFonts w:hint="default" w:ascii="Times New Roman" w:hAnsi="Times New Roman" w:eastAsia="黑体" w:cs="Times New Roman"/>
          <w:sz w:val="32"/>
          <w:szCs w:val="32"/>
        </w:rPr>
      </w:pPr>
    </w:p>
    <w:p w14:paraId="1227E26C">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rPr>
          <w:rFonts w:hint="default" w:ascii="Times New Roman" w:hAnsi="Times New Roman" w:cs="Times New Roman"/>
        </w:rPr>
        <w:sectPr>
          <w:footerReference r:id="rId3" w:type="default"/>
          <w:pgSz w:w="11906" w:h="16838"/>
          <w:pgMar w:top="1560" w:right="1800" w:bottom="1440" w:left="1800" w:header="851" w:footer="657" w:gutter="0"/>
          <w:pgNumType w:fmt="decimal" w:start="1"/>
          <w:cols w:space="425" w:num="1"/>
          <w:docGrid w:type="lines" w:linePitch="312" w:charSpace="0"/>
        </w:sectPr>
      </w:pPr>
    </w:p>
    <w:p w14:paraId="76E75611">
      <w:pPr>
        <w:keepNext w:val="0"/>
        <w:keepLines w:val="0"/>
        <w:pageBreakBefore w:val="0"/>
        <w:wordWrap/>
        <w:overflowPunct/>
        <w:bidi w:val="0"/>
        <w:spacing w:line="240" w:lineRule="auto"/>
        <w:rPr>
          <w:rFonts w:ascii="宋体" w:hAnsi="Calibri" w:eastAsia="宋体" w:cs="Times New Roman"/>
          <w:b/>
          <w:bCs/>
          <w:sz w:val="24"/>
          <w:szCs w:val="24"/>
        </w:rPr>
      </w:pPr>
      <w:r>
        <w:rPr>
          <w:rFonts w:ascii="宋体"/>
          <w:b/>
          <w:bCs/>
          <w:sz w:val="24"/>
          <w:szCs w:val="24"/>
        </w:rPr>
        <w:t>附件</w:t>
      </w:r>
      <w:r>
        <w:rPr>
          <w:rFonts w:hint="eastAsia" w:ascii="宋体"/>
          <w:b/>
          <w:bCs/>
          <w:sz w:val="24"/>
          <w:szCs w:val="24"/>
          <w:lang w:val="en-US" w:eastAsia="zh-CN"/>
        </w:rPr>
        <w:t>1</w:t>
      </w:r>
    </w:p>
    <w:p w14:paraId="0C8ABDEA">
      <w:pPr>
        <w:keepNext w:val="0"/>
        <w:keepLines w:val="0"/>
        <w:pageBreakBefore w:val="0"/>
        <w:wordWrap/>
        <w:overflowPunct/>
        <w:bidi w:val="0"/>
        <w:spacing w:line="240" w:lineRule="auto"/>
        <w:rPr>
          <w:rFonts w:ascii="宋体" w:hAnsi="Calibri" w:eastAsia="宋体" w:cs="Times New Roman"/>
          <w:sz w:val="24"/>
        </w:rPr>
      </w:pPr>
    </w:p>
    <w:p w14:paraId="1CD2D8F1">
      <w:pPr>
        <w:keepNext w:val="0"/>
        <w:keepLines w:val="0"/>
        <w:pageBreakBefore w:val="0"/>
        <w:wordWrap/>
        <w:overflowPunct/>
        <w:bidi w:val="0"/>
        <w:spacing w:line="240" w:lineRule="auto"/>
        <w:jc w:val="center"/>
        <w:rPr>
          <w:rFonts w:hint="eastAsia" w:ascii="宋体" w:hAnsi="宋体" w:eastAsia="宋体" w:cs="Times New Roman"/>
          <w:b/>
          <w:bCs/>
          <w:sz w:val="36"/>
          <w:szCs w:val="36"/>
        </w:rPr>
      </w:pPr>
      <w:r>
        <w:rPr>
          <w:rFonts w:hint="eastAsia" w:ascii="宋体" w:hAnsi="宋体" w:eastAsia="宋体" w:cs="Times New Roman"/>
          <w:b/>
          <w:bCs/>
          <w:sz w:val="44"/>
          <w:szCs w:val="44"/>
          <w:lang w:val="zh-CN" w:eastAsia="zh-CN"/>
        </w:rPr>
        <w:t>投标承诺函</w:t>
      </w:r>
    </w:p>
    <w:p w14:paraId="490933A3">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w:t>
      </w:r>
      <w:r>
        <w:rPr>
          <w:rFonts w:hint="eastAsia" w:ascii="方正仿宋_GBK" w:hAnsi="方正仿宋_GBK" w:eastAsia="方正仿宋_GBK" w:cs="方正仿宋_GBK"/>
          <w:sz w:val="32"/>
          <w:szCs w:val="32"/>
          <w:lang w:val="en-US" w:eastAsia="zh-CN"/>
        </w:rPr>
        <w:t>数据</w:t>
      </w:r>
      <w:r>
        <w:rPr>
          <w:rFonts w:hint="eastAsia" w:ascii="方正仿宋_GBK" w:hAnsi="方正仿宋_GBK" w:eastAsia="方正仿宋_GBK" w:cs="方正仿宋_GBK"/>
          <w:sz w:val="32"/>
          <w:szCs w:val="32"/>
        </w:rPr>
        <w:t>局：</w:t>
      </w:r>
    </w:p>
    <w:p w14:paraId="3AA77021">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14:paraId="2DA574A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方正仿宋_GBK" w:hAnsi="方正仿宋_GBK" w:eastAsia="方正仿宋_GBK" w:cs="方正仿宋_GBK"/>
          <w:sz w:val="32"/>
          <w:szCs w:val="32"/>
          <w:lang w:eastAsia="zh-CN"/>
        </w:rPr>
        <w:t>。</w:t>
      </w:r>
    </w:p>
    <w:p w14:paraId="0182CA0A">
      <w:pPr>
        <w:keepNext w:val="0"/>
        <w:keepLines w:val="0"/>
        <w:pageBreakBefore w:val="0"/>
        <w:widowControl w:val="0"/>
        <w:kinsoku/>
        <w:wordWrap/>
        <w:overflowPunct/>
        <w:topLinePunct w:val="0"/>
        <w:autoSpaceDE/>
        <w:autoSpaceDN/>
        <w:bidi w:val="0"/>
        <w:adjustRightInd/>
        <w:spacing w:line="520" w:lineRule="exact"/>
        <w:ind w:firstLine="56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贵方组织的</w:t>
      </w:r>
      <w:r>
        <w:rPr>
          <w:rFonts w:hint="eastAsia" w:ascii="Times New Roman" w:hAnsi="Times New Roman" w:eastAsia="方正仿宋_GBK" w:cs="Times New Roman"/>
          <w:sz w:val="32"/>
          <w:szCs w:val="32"/>
          <w:lang w:val="en-US" w:eastAsia="zh-CN"/>
        </w:rPr>
        <w:t>南通市数据局市县一体化政务服务管理平台商用密码应用安全性评估</w:t>
      </w:r>
      <w:r>
        <w:rPr>
          <w:rFonts w:hint="eastAsia" w:ascii="Times New Roman" w:hAnsi="Times New Roman" w:eastAsia="方正仿宋_GBK" w:cs="Times New Roman"/>
          <w:sz w:val="32"/>
          <w:szCs w:val="32"/>
          <w:lang w:val="zh-CN" w:eastAsia="zh-CN"/>
        </w:rPr>
        <w:t>项目（</w:t>
      </w:r>
      <w:r>
        <w:rPr>
          <w:rFonts w:hint="eastAsia" w:ascii="Times New Roman" w:hAnsi="Times New Roman" w:eastAsia="方正仿宋_GBK" w:cs="Times New Roman"/>
          <w:sz w:val="32"/>
          <w:szCs w:val="32"/>
          <w:lang w:val="en-US" w:eastAsia="zh-CN"/>
        </w:rPr>
        <w:t>2025年度</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，我</w:t>
      </w:r>
      <w:r>
        <w:rPr>
          <w:rFonts w:hint="eastAsia" w:ascii="方正仿宋_GBK" w:hAnsi="方正仿宋_GBK" w:eastAsia="方正仿宋_GBK" w:cs="方正仿宋_GBK"/>
          <w:sz w:val="32"/>
          <w:szCs w:val="32"/>
        </w:rPr>
        <w:t>单位所提交的材料均为真实的，且能提供满足供应要求的服务内容。</w:t>
      </w:r>
    </w:p>
    <w:p w14:paraId="3918610F">
      <w:pPr>
        <w:pStyle w:val="14"/>
        <w:keepNext w:val="0"/>
        <w:keepLines w:val="0"/>
        <w:pageBreakBefore w:val="0"/>
        <w:wordWrap/>
        <w:overflowPunct/>
        <w:bidi w:val="0"/>
        <w:spacing w:after="0" w:line="240" w:lineRule="auto"/>
        <w:rPr>
          <w:rFonts w:hint="eastAsia" w:ascii="方正仿宋_GBK" w:hAnsi="方正仿宋_GBK" w:eastAsia="方正仿宋_GBK" w:cs="方正仿宋_GBK"/>
          <w:sz w:val="32"/>
          <w:szCs w:val="32"/>
        </w:rPr>
      </w:pPr>
    </w:p>
    <w:p w14:paraId="4D7F27ED">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14:paraId="58E86C0C">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14:paraId="1E516F62">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14:paraId="3D4993B6">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6B095696">
      <w:pPr>
        <w:pStyle w:val="14"/>
        <w:rPr>
          <w:rFonts w:hint="eastAsia" w:ascii="方正仿宋_GBK" w:hAnsi="方正仿宋_GBK" w:eastAsia="方正仿宋_GBK" w:cs="方正仿宋_GBK"/>
          <w:sz w:val="32"/>
          <w:szCs w:val="32"/>
        </w:rPr>
      </w:pPr>
    </w:p>
    <w:p w14:paraId="034A44D8">
      <w:pPr>
        <w:pStyle w:val="14"/>
        <w:rPr>
          <w:rFonts w:hint="eastAsia" w:ascii="方正仿宋_GBK" w:hAnsi="方正仿宋_GBK" w:eastAsia="方正仿宋_GBK" w:cs="方正仿宋_GBK"/>
          <w:sz w:val="32"/>
          <w:szCs w:val="32"/>
        </w:rPr>
      </w:pPr>
    </w:p>
    <w:p w14:paraId="5311B9A7">
      <w:pPr>
        <w:pStyle w:val="14"/>
        <w:rPr>
          <w:rFonts w:hint="eastAsia" w:ascii="方正仿宋_GBK" w:hAnsi="方正仿宋_GBK" w:eastAsia="方正仿宋_GBK" w:cs="方正仿宋_GBK"/>
          <w:sz w:val="32"/>
          <w:szCs w:val="32"/>
        </w:rPr>
      </w:pPr>
    </w:p>
    <w:p w14:paraId="457BE079">
      <w:pPr>
        <w:pStyle w:val="14"/>
        <w:rPr>
          <w:rFonts w:hint="eastAsia" w:ascii="方正仿宋_GBK" w:hAnsi="方正仿宋_GBK" w:eastAsia="方正仿宋_GBK" w:cs="方正仿宋_GBK"/>
          <w:sz w:val="32"/>
          <w:szCs w:val="32"/>
        </w:rPr>
      </w:pPr>
    </w:p>
    <w:p w14:paraId="22417F34">
      <w:pPr>
        <w:pStyle w:val="14"/>
        <w:rPr>
          <w:rFonts w:hint="eastAsia" w:ascii="方正仿宋_GBK" w:hAnsi="方正仿宋_GBK" w:eastAsia="方正仿宋_GBK" w:cs="方正仿宋_GBK"/>
          <w:sz w:val="32"/>
          <w:szCs w:val="32"/>
        </w:rPr>
      </w:pPr>
    </w:p>
    <w:p w14:paraId="1DA9A30C">
      <w:pPr>
        <w:keepNext w:val="0"/>
        <w:keepLines w:val="0"/>
        <w:pageBreakBefore w:val="0"/>
        <w:wordWrap/>
        <w:overflowPunct/>
        <w:bidi w:val="0"/>
        <w:spacing w:line="240" w:lineRule="auto"/>
        <w:rPr>
          <w:rFonts w:ascii="宋体"/>
          <w:b/>
          <w:bCs/>
          <w:sz w:val="24"/>
          <w:szCs w:val="24"/>
        </w:rPr>
        <w:sectPr>
          <w:pgSz w:w="11906" w:h="16838"/>
          <w:pgMar w:top="1560" w:right="1800" w:bottom="1440" w:left="1800" w:header="851" w:footer="657" w:gutter="0"/>
          <w:pgNumType w:fmt="decimal"/>
          <w:cols w:space="425" w:num="1"/>
          <w:docGrid w:type="lines" w:linePitch="312" w:charSpace="0"/>
        </w:sectPr>
      </w:pPr>
    </w:p>
    <w:p w14:paraId="0A3DA9E1">
      <w:pPr>
        <w:keepNext w:val="0"/>
        <w:keepLines w:val="0"/>
        <w:pageBreakBefore w:val="0"/>
        <w:wordWrap/>
        <w:overflowPunct/>
        <w:bidi w:val="0"/>
        <w:spacing w:line="240" w:lineRule="auto"/>
        <w:rPr>
          <w:rFonts w:hint="eastAsia" w:ascii="宋体"/>
          <w:b/>
          <w:bCs/>
          <w:sz w:val="24"/>
          <w:szCs w:val="24"/>
        </w:rPr>
      </w:pPr>
      <w:r>
        <w:rPr>
          <w:rFonts w:ascii="宋体"/>
          <w:b/>
          <w:bCs/>
          <w:sz w:val="24"/>
          <w:szCs w:val="24"/>
        </w:rPr>
        <w:t>附件</w:t>
      </w:r>
      <w:r>
        <w:rPr>
          <w:rFonts w:hint="eastAsia" w:ascii="宋体"/>
          <w:b/>
          <w:bCs/>
          <w:sz w:val="24"/>
          <w:szCs w:val="24"/>
          <w:lang w:val="en-US" w:eastAsia="zh-CN"/>
        </w:rPr>
        <w:t>2</w:t>
      </w:r>
    </w:p>
    <w:p w14:paraId="47FD539B">
      <w:pPr>
        <w:keepNext w:val="0"/>
        <w:keepLines w:val="0"/>
        <w:pageBreakBefore w:val="0"/>
        <w:widowControl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kern w:val="2"/>
          <w:sz w:val="44"/>
          <w:szCs w:val="44"/>
          <w:lang w:val="zh-CN" w:eastAsia="zh-CN" w:bidi="ar-SA"/>
        </w:rPr>
      </w:pPr>
      <w:r>
        <w:rPr>
          <w:rFonts w:hint="eastAsia" w:ascii="方正小标宋_GBK" w:hAnsi="方正小标宋_GBK" w:eastAsia="方正小标宋_GBK" w:cs="方正小标宋_GBK"/>
          <w:kern w:val="2"/>
          <w:sz w:val="44"/>
          <w:szCs w:val="44"/>
          <w:lang w:val="zh-CN" w:eastAsia="zh-CN" w:bidi="ar-SA"/>
        </w:rPr>
        <w:t>磋商响应报价表</w:t>
      </w:r>
    </w:p>
    <w:p w14:paraId="78DCA6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项目名称：</w:t>
      </w:r>
    </w:p>
    <w:tbl>
      <w:tblPr>
        <w:tblStyle w:val="15"/>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4610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072C25A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3C7B37C2">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6332865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BCC7DFC">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投标</w:t>
            </w:r>
            <w:r>
              <w:rPr>
                <w:rFonts w:hint="eastAsia" w:ascii="方正仿宋_GBK" w:hAnsi="方正仿宋_GBK" w:eastAsia="方正仿宋_GBK" w:cs="方正仿宋_GBK"/>
                <w:i w:val="0"/>
                <w:iCs w:val="0"/>
                <w:caps w:val="0"/>
                <w:color w:val="333333"/>
                <w:spacing w:val="0"/>
                <w:sz w:val="28"/>
                <w:szCs w:val="28"/>
              </w:rPr>
              <w:t>人</w:t>
            </w:r>
            <w:r>
              <w:rPr>
                <w:rFonts w:hint="eastAsia" w:ascii="方正仿宋_GBK" w:hAnsi="方正仿宋_GBK" w:eastAsia="方正仿宋_GBK" w:cs="方正仿宋_GBK"/>
                <w:i w:val="0"/>
                <w:iCs w:val="0"/>
                <w:caps w:val="0"/>
                <w:color w:val="333333"/>
                <w:spacing w:val="0"/>
                <w:sz w:val="28"/>
                <w:szCs w:val="28"/>
                <w:lang w:val="en-US" w:eastAsia="zh-CN"/>
              </w:rPr>
              <w:t>签字</w:t>
            </w:r>
          </w:p>
        </w:tc>
      </w:tr>
      <w:tr w14:paraId="120D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3D568859">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5750CEB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0934B3E7">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14:paraId="5A1C181A">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39504D2C">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r w14:paraId="783E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3D3F3A98">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5AA43CB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21AE45E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14:paraId="27F6C1DD">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308560AA">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bl>
    <w:p w14:paraId="11C1C6C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shd w:val="clear" w:fill="FFFFFF"/>
          <w:lang w:val="en-US" w:eastAsia="zh-CN"/>
        </w:rPr>
      </w:pPr>
    </w:p>
    <w:p w14:paraId="26F335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投标单位</w:t>
      </w:r>
      <w:r>
        <w:rPr>
          <w:rFonts w:hint="eastAsia" w:ascii="方正仿宋_GBK" w:hAnsi="方正仿宋_GBK" w:eastAsia="方正仿宋_GBK" w:cs="方正仿宋_GBK"/>
          <w:i w:val="0"/>
          <w:iCs w:val="0"/>
          <w:caps w:val="0"/>
          <w:color w:val="333333"/>
          <w:spacing w:val="0"/>
          <w:sz w:val="28"/>
          <w:szCs w:val="28"/>
          <w:shd w:val="clear" w:fill="FFFFFF"/>
        </w:rPr>
        <w:t>：（盖章）</w:t>
      </w:r>
    </w:p>
    <w:p w14:paraId="6AE16FB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方正仿宋_GBK" w:hAnsi="方正仿宋_GBK" w:eastAsia="方正仿宋_GBK" w:cs="方正仿宋_GBK"/>
          <w:i w:val="0"/>
          <w:iCs w:val="0"/>
          <w:caps w:val="0"/>
          <w:color w:val="333333"/>
          <w:spacing w:val="0"/>
          <w:sz w:val="28"/>
          <w:szCs w:val="28"/>
          <w:shd w:val="clear" w:fill="FFFFFF"/>
        </w:rPr>
        <w:t>日</w:t>
      </w:r>
      <w:r>
        <w:rPr>
          <w:rFonts w:hint="eastAsia" w:ascii="方正仿宋_GBK" w:hAnsi="方正仿宋_GBK" w:eastAsia="方正仿宋_GBK" w:cs="方正仿宋_GBK"/>
          <w:i w:val="0"/>
          <w:iCs w:val="0"/>
          <w:caps w:val="0"/>
          <w:color w:val="333333"/>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28"/>
          <w:szCs w:val="28"/>
          <w:shd w:val="clear" w:fill="FFFFFF"/>
        </w:rPr>
        <w:t>期：</w:t>
      </w:r>
    </w:p>
    <w:p w14:paraId="6F0BF5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default" w:ascii="Times New Roman" w:hAnsi="Times New Roman" w:eastAsia="黑体" w:cs="Times New Roman"/>
          <w:sz w:val="32"/>
          <w:szCs w:val="32"/>
          <w:lang w:val="en-US" w:eastAsia="zh-CN"/>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CD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1A3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EA1A3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14:paraId="64AFC707">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14:paraId="676335F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2"/>
      <w:suff w:val="space"/>
      <w:lvlText w:val="%3、"/>
      <w:lvlJc w:val="left"/>
      <w:pPr>
        <w:ind w:left="0" w:firstLine="420"/>
      </w:pPr>
      <w:rPr>
        <w:rFonts w:hint="eastAsia"/>
      </w:rPr>
    </w:lvl>
    <w:lvl w:ilvl="3" w:tentative="0">
      <w:start w:val="1"/>
      <w:numFmt w:val="decimal"/>
      <w:pStyle w:val="3"/>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14A1763D"/>
    <w:rsid w:val="155A30D3"/>
    <w:rsid w:val="159E329B"/>
    <w:rsid w:val="159F7CFE"/>
    <w:rsid w:val="15CD0276"/>
    <w:rsid w:val="167571D0"/>
    <w:rsid w:val="16FA3937"/>
    <w:rsid w:val="189967EB"/>
    <w:rsid w:val="1B5C73CB"/>
    <w:rsid w:val="1F82303C"/>
    <w:rsid w:val="24EA6547"/>
    <w:rsid w:val="263D2305"/>
    <w:rsid w:val="28792866"/>
    <w:rsid w:val="2C247228"/>
    <w:rsid w:val="31BC0BA2"/>
    <w:rsid w:val="356B689E"/>
    <w:rsid w:val="36925608"/>
    <w:rsid w:val="3B1C421D"/>
    <w:rsid w:val="3BD35C71"/>
    <w:rsid w:val="3DFC0E58"/>
    <w:rsid w:val="3E466D74"/>
    <w:rsid w:val="46367DBF"/>
    <w:rsid w:val="465E0EE8"/>
    <w:rsid w:val="470F3D48"/>
    <w:rsid w:val="4A62606A"/>
    <w:rsid w:val="4AD652DE"/>
    <w:rsid w:val="4B170BB7"/>
    <w:rsid w:val="4D3C7046"/>
    <w:rsid w:val="4D86770C"/>
    <w:rsid w:val="4D954A8F"/>
    <w:rsid w:val="4E083194"/>
    <w:rsid w:val="4E6B74B7"/>
    <w:rsid w:val="552159DD"/>
    <w:rsid w:val="56686E91"/>
    <w:rsid w:val="59892792"/>
    <w:rsid w:val="5A4B2513"/>
    <w:rsid w:val="5AB078E9"/>
    <w:rsid w:val="5B501CFC"/>
    <w:rsid w:val="5EDD4798"/>
    <w:rsid w:val="6022379A"/>
    <w:rsid w:val="608F0419"/>
    <w:rsid w:val="60F15F42"/>
    <w:rsid w:val="61081953"/>
    <w:rsid w:val="61756C12"/>
    <w:rsid w:val="618159FF"/>
    <w:rsid w:val="62590C5D"/>
    <w:rsid w:val="67024A05"/>
    <w:rsid w:val="675B6E7D"/>
    <w:rsid w:val="67E1286C"/>
    <w:rsid w:val="68696AB2"/>
    <w:rsid w:val="68A232BB"/>
    <w:rsid w:val="6CF46B9E"/>
    <w:rsid w:val="731A2D5D"/>
    <w:rsid w:val="749113CE"/>
    <w:rsid w:val="7633113E"/>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spacing w:before="100" w:after="100"/>
      <w:ind w:firstLineChars="200"/>
      <w:outlineLvl w:val="2"/>
    </w:pPr>
    <w:rPr>
      <w:rFonts w:eastAsia="仿宋"/>
      <w:b/>
      <w:bCs/>
      <w:sz w:val="28"/>
      <w:szCs w:val="32"/>
    </w:rPr>
  </w:style>
  <w:style w:type="paragraph" w:styleId="3">
    <w:name w:val="heading 4"/>
    <w:basedOn w:val="1"/>
    <w:next w:val="1"/>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Plain Text"/>
    <w:basedOn w:val="1"/>
    <w:qFormat/>
    <w:uiPriority w:val="0"/>
    <w:rPr>
      <w:rFonts w:ascii="宋体" w:hAnsi="Courier New"/>
      <w:szCs w:val="20"/>
    </w:rPr>
  </w:style>
  <w:style w:type="paragraph" w:styleId="6">
    <w:name w:val="Body Text Indent"/>
    <w:basedOn w:val="1"/>
    <w:next w:val="7"/>
    <w:semiHidden/>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4">
    <w:name w:val="Body Text First Indent 2"/>
    <w:basedOn w:val="6"/>
    <w:qFormat/>
    <w:uiPriority w:val="99"/>
    <w:pPr>
      <w:ind w:firstLine="420" w:firstLineChars="200"/>
    </w:pPr>
    <w:rPr>
      <w:sz w:val="32"/>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正文1"/>
    <w:basedOn w:val="1"/>
    <w:qFormat/>
    <w:uiPriority w:val="0"/>
    <w:pPr>
      <w:spacing w:line="360" w:lineRule="auto"/>
      <w:ind w:firstLine="361"/>
    </w:pPr>
    <w:rPr>
      <w:rFonts w:ascii="宋体" w:hAnsi="宋体"/>
      <w:szCs w:val="24"/>
    </w:rPr>
  </w:style>
  <w:style w:type="character" w:customStyle="1" w:styleId="20">
    <w:name w:val="页眉 字符"/>
    <w:basedOn w:val="17"/>
    <w:link w:val="10"/>
    <w:semiHidden/>
    <w:qFormat/>
    <w:uiPriority w:val="99"/>
    <w:rPr>
      <w:sz w:val="18"/>
      <w:szCs w:val="18"/>
    </w:rPr>
  </w:style>
  <w:style w:type="character" w:customStyle="1" w:styleId="21">
    <w:name w:val="页脚 字符"/>
    <w:basedOn w:val="17"/>
    <w:link w:val="9"/>
    <w:qFormat/>
    <w:uiPriority w:val="99"/>
    <w:rPr>
      <w:sz w:val="18"/>
      <w:szCs w:val="18"/>
    </w:rPr>
  </w:style>
  <w:style w:type="paragraph" w:customStyle="1" w:styleId="22">
    <w:name w:val="p0"/>
    <w:basedOn w:val="1"/>
    <w:qFormat/>
    <w:uiPriority w:val="0"/>
    <w:pPr>
      <w:widowControl/>
    </w:pPr>
    <w:rPr>
      <w:rFonts w:ascii="Calibri" w:hAnsi="Calibri" w:eastAsia="宋体" w:cs="Calibri"/>
      <w:kern w:val="0"/>
      <w:szCs w:val="21"/>
    </w:rPr>
  </w:style>
  <w:style w:type="character" w:customStyle="1" w:styleId="23">
    <w:name w:val="批注框文本 字符"/>
    <w:basedOn w:val="17"/>
    <w:link w:val="8"/>
    <w:semiHidden/>
    <w:qFormat/>
    <w:uiPriority w:val="99"/>
    <w:rPr>
      <w:sz w:val="18"/>
      <w:szCs w:val="18"/>
    </w:rPr>
  </w:style>
  <w:style w:type="paragraph" w:customStyle="1" w:styleId="24">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5">
    <w:name w:val="List Paragraph"/>
    <w:basedOn w:val="1"/>
    <w:qFormat/>
    <w:uiPriority w:val="34"/>
    <w:pPr>
      <w:ind w:firstLine="420" w:firstLineChars="200"/>
    </w:pPr>
  </w:style>
  <w:style w:type="paragraph" w:customStyle="1" w:styleId="26">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27">
    <w:name w:val="font31"/>
    <w:basedOn w:val="17"/>
    <w:qFormat/>
    <w:uiPriority w:val="0"/>
    <w:rPr>
      <w:rFonts w:hint="default" w:ascii="Times New Roman" w:hAnsi="Times New Roman" w:cs="Times New Roman"/>
      <w:color w:val="000000"/>
      <w:sz w:val="21"/>
      <w:szCs w:val="21"/>
      <w:u w:val="none"/>
    </w:rPr>
  </w:style>
  <w:style w:type="character" w:customStyle="1" w:styleId="28">
    <w:name w:val="font5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3842</Words>
  <Characters>3963</Characters>
  <Lines>13</Lines>
  <Paragraphs>3</Paragraphs>
  <TotalTime>0</TotalTime>
  <ScaleCrop>false</ScaleCrop>
  <LinksUpToDate>false</LinksUpToDate>
  <CharactersWithSpaces>4129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余荣荣</cp:lastModifiedBy>
  <cp:lastPrinted>2021-05-25T06:59:00Z</cp:lastPrinted>
  <dcterms:modified xsi:type="dcterms:W3CDTF">2025-04-25T08:25:08Z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2052-12.1.0.20784</vt:lpwstr>
  </property>
  <property fmtid="{D5CDD505-2E9C-101B-9397-08002B2CF9AE}" pid="4" name="ICV">
    <vt:lpwstr>ABC536B271694CC6982DAC8A09EDF34E</vt:lpwstr>
  </property>
  <property fmtid="{D5CDD505-2E9C-101B-9397-08002B2CF9AE}" pid="5" name="KSOTemplateDocerSaveRecord">
    <vt:lpwstr>eyJoZGlkIjoiYzUyZjhlZGRkZDZmY2ViMzQ2MWU3ZTUwYTEzMTQ2MTkiLCJ1c2VySWQiOiIxNjk3Mzg1MTg4In0=</vt:lpwstr>
  </property>
</Properties>
</file>