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imes New Roman" w:hAnsi="Times New Roman" w:eastAsia="宋体" w:cs="Times New Roman"/>
        </w:rPr>
      </w:pPr>
      <w:r>
        <w:rPr>
          <w:rFonts w:hint="eastAsia" w:ascii="Times New Roman" w:hAnsi="Times New Roman" w:eastAsia="黑体" w:cs="Times New Roman"/>
          <w:sz w:val="44"/>
          <w:szCs w:val="44"/>
        </w:rPr>
        <w:t>“互联网+监管”可视化平台</w:t>
      </w:r>
      <w:r>
        <w:rPr>
          <w:rFonts w:ascii="Times New Roman" w:hAnsi="Times New Roman" w:eastAsia="黑体" w:cs="Times New Roman"/>
          <w:sz w:val="44"/>
          <w:szCs w:val="44"/>
        </w:rPr>
        <w:t>采购公告</w:t>
      </w:r>
    </w:p>
    <w:p>
      <w:pPr>
        <w:widowControl/>
        <w:spacing w:line="600" w:lineRule="exact"/>
        <w:ind w:right="23" w:rightChars="11"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根据《南通市行政审批局关于印发&lt;信息化项目采购管理规定&gt;的通知》（</w:t>
      </w:r>
      <w:r>
        <w:rPr>
          <w:rFonts w:hint="eastAsia" w:eastAsia="方正仿宋_GBK" w:cs="方正仿宋_GBK"/>
          <w:snapToGrid w:val="0"/>
          <w:color w:val="000000"/>
          <w:kern w:val="0"/>
          <w:sz w:val="32"/>
          <w:szCs w:val="32"/>
        </w:rPr>
        <w:t>通行审发</w:t>
      </w:r>
      <w:r>
        <w:rPr>
          <w:rFonts w:ascii="Times New Roman" w:eastAsia="方正仿宋_GBK"/>
          <w:snapToGrid w:val="0"/>
          <w:color w:val="000000"/>
          <w:kern w:val="0"/>
          <w:sz w:val="32"/>
          <w:szCs w:val="32"/>
        </w:rPr>
        <w:t>〔</w:t>
      </w:r>
      <w:r>
        <w:rPr>
          <w:rFonts w:ascii="Times New Roman" w:hAnsi="Times New Roman" w:eastAsia="方正仿宋_GBK"/>
          <w:snapToGrid w:val="0"/>
          <w:color w:val="000000"/>
          <w:kern w:val="0"/>
          <w:sz w:val="32"/>
          <w:szCs w:val="32"/>
        </w:rPr>
        <w:t>2020</w:t>
      </w:r>
      <w:r>
        <w:rPr>
          <w:rFonts w:ascii="Times New Roman" w:eastAsia="方正仿宋_GBK"/>
          <w:snapToGrid w:val="0"/>
          <w:color w:val="000000"/>
          <w:kern w:val="0"/>
          <w:sz w:val="32"/>
          <w:szCs w:val="32"/>
        </w:rPr>
        <w:t>〕</w:t>
      </w:r>
      <w:r>
        <w:rPr>
          <w:rFonts w:hint="eastAsia" w:ascii="Times New Roman" w:hAnsi="Times New Roman" w:eastAsia="方正仿宋_GBK"/>
          <w:snapToGrid w:val="0"/>
          <w:color w:val="000000"/>
          <w:kern w:val="0"/>
          <w:sz w:val="32"/>
          <w:szCs w:val="32"/>
        </w:rPr>
        <w:t>41</w:t>
      </w:r>
      <w:r>
        <w:rPr>
          <w:rFonts w:ascii="Times New Roman" w:eastAsia="方正仿宋_GBK"/>
          <w:snapToGrid w:val="0"/>
          <w:color w:val="000000"/>
          <w:kern w:val="0"/>
          <w:sz w:val="32"/>
          <w:szCs w:val="32"/>
        </w:rPr>
        <w:t>号</w:t>
      </w:r>
      <w:r>
        <w:rPr>
          <w:rFonts w:ascii="Times New Roman" w:hAnsi="Times New Roman" w:eastAsia="方正仿宋_GBK" w:cs="Times New Roman"/>
          <w:sz w:val="32"/>
          <w:szCs w:val="32"/>
        </w:rPr>
        <w:t>）等文件要求，</w:t>
      </w:r>
      <w:r>
        <w:rPr>
          <w:rFonts w:hint="eastAsia" w:ascii="Times New Roman" w:hAnsi="Times New Roman" w:eastAsia="方正仿宋_GBK" w:cs="Times New Roman"/>
          <w:sz w:val="32"/>
          <w:szCs w:val="32"/>
          <w:lang w:eastAsia="zh-CN"/>
        </w:rPr>
        <w:t>根据南通市“互联网</w:t>
      </w:r>
      <w:r>
        <w:rPr>
          <w:rFonts w:hint="eastAsia"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eastAsia="zh-CN"/>
        </w:rPr>
        <w:t>监管”数据中心建设及工作门户系统采购结果，</w:t>
      </w:r>
      <w:r>
        <w:rPr>
          <w:rFonts w:ascii="Times New Roman" w:hAnsi="Times New Roman" w:eastAsia="方正仿宋_GBK" w:cs="Times New Roman"/>
          <w:sz w:val="32"/>
          <w:szCs w:val="32"/>
        </w:rPr>
        <w:t>市行政审批局拟</w:t>
      </w:r>
      <w:r>
        <w:rPr>
          <w:rFonts w:hint="eastAsia" w:ascii="Times New Roman" w:hAnsi="Times New Roman" w:eastAsia="方正仿宋_GBK" w:cs="Times New Roman"/>
          <w:sz w:val="32"/>
          <w:szCs w:val="32"/>
          <w:lang w:eastAsia="zh-CN"/>
        </w:rPr>
        <w:t>组织</w:t>
      </w:r>
      <w:r>
        <w:rPr>
          <w:rFonts w:hint="eastAsia" w:ascii="Times New Roman" w:hAnsi="Times New Roman" w:eastAsia="方正仿宋_GBK"/>
          <w:snapToGrid w:val="0"/>
          <w:color w:val="000000"/>
          <w:kern w:val="0"/>
          <w:sz w:val="32"/>
          <w:szCs w:val="32"/>
        </w:rPr>
        <w:t>“互联网+监管”可视化平台</w:t>
      </w:r>
      <w:r>
        <w:rPr>
          <w:rFonts w:hint="eastAsia" w:ascii="Times New Roman" w:hAnsi="Times New Roman" w:eastAsia="方正仿宋_GBK"/>
          <w:snapToGrid w:val="0"/>
          <w:color w:val="000000"/>
          <w:kern w:val="0"/>
          <w:sz w:val="32"/>
          <w:szCs w:val="32"/>
          <w:lang w:eastAsia="zh-CN"/>
        </w:rPr>
        <w:t>项目单一来源</w:t>
      </w:r>
      <w:r>
        <w:rPr>
          <w:rFonts w:ascii="Times New Roman" w:hAnsi="Times New Roman" w:eastAsia="方正仿宋_GBK" w:cs="Times New Roman"/>
          <w:sz w:val="32"/>
          <w:szCs w:val="32"/>
        </w:rPr>
        <w:t>采购，公告如下：</w:t>
      </w:r>
    </w:p>
    <w:p>
      <w:pPr>
        <w:spacing w:line="560" w:lineRule="exact"/>
        <w:rPr>
          <w:rFonts w:hint="eastAsia" w:ascii="Times New Roman" w:hAnsi="Times New Roman" w:eastAsia="方正仿宋_GBK" w:cs="Times New Roman"/>
          <w:sz w:val="32"/>
          <w:szCs w:val="32"/>
          <w:lang w:eastAsia="zh-CN"/>
        </w:rPr>
      </w:pPr>
      <w:r>
        <w:rPr>
          <w:rFonts w:ascii="Times New Roman" w:hAnsi="Times New Roman" w:eastAsia="黑体" w:cs="Times New Roman"/>
          <w:sz w:val="32"/>
          <w:szCs w:val="32"/>
        </w:rPr>
        <w:t xml:space="preserve">    一、项目名称：</w:t>
      </w:r>
      <w:r>
        <w:rPr>
          <w:rFonts w:hint="eastAsia" w:ascii="Times New Roman" w:hAnsi="Times New Roman" w:eastAsia="方正仿宋_GBK"/>
          <w:snapToGrid w:val="0"/>
          <w:color w:val="000000"/>
          <w:kern w:val="0"/>
          <w:sz w:val="32"/>
          <w:szCs w:val="32"/>
        </w:rPr>
        <w:t>“互联网+监管”可视化平台</w:t>
      </w:r>
      <w:r>
        <w:rPr>
          <w:rFonts w:hint="eastAsia" w:ascii="Times New Roman" w:hAnsi="Times New Roman" w:eastAsia="方正仿宋_GBK" w:cs="Times New Roman"/>
          <w:sz w:val="32"/>
          <w:szCs w:val="32"/>
          <w:lang w:eastAsia="zh-CN"/>
        </w:rPr>
        <w:t>。</w:t>
      </w:r>
    </w:p>
    <w:p>
      <w:pPr>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黑体" w:cs="Times New Roman"/>
          <w:sz w:val="32"/>
          <w:szCs w:val="32"/>
          <w:lang w:eastAsia="zh-CN"/>
        </w:rPr>
        <w:t>二、项目预算：</w:t>
      </w:r>
      <w:r>
        <w:rPr>
          <w:rFonts w:hint="eastAsia" w:ascii="Times New Roman" w:hAnsi="Times New Roman" w:eastAsia="黑体" w:cs="Times New Roman"/>
          <w:sz w:val="32"/>
          <w:szCs w:val="32"/>
          <w:lang w:val="en-US" w:eastAsia="zh-CN"/>
        </w:rPr>
        <w:t>13.4</w:t>
      </w:r>
      <w:r>
        <w:rPr>
          <w:rFonts w:hint="eastAsia" w:ascii="Times New Roman" w:hAnsi="Times New Roman" w:eastAsia="方正仿宋_GBK" w:cs="Times New Roman"/>
          <w:sz w:val="32"/>
          <w:szCs w:val="32"/>
          <w:lang w:val="en-US" w:eastAsia="zh-CN"/>
        </w:rPr>
        <w:t>万元。</w:t>
      </w:r>
    </w:p>
    <w:p>
      <w:pPr>
        <w:spacing w:line="560" w:lineRule="exact"/>
        <w:ind w:left="638" w:leftChars="304" w:firstLine="0" w:firstLineChars="0"/>
        <w:rPr>
          <w:rFonts w:hint="eastAsia" w:ascii="Times New Roman" w:hAnsi="Times New Roman" w:eastAsia="方正仿宋_GBK" w:cs="Times New Roman"/>
          <w:sz w:val="32"/>
          <w:szCs w:val="32"/>
          <w:lang w:val="en-US" w:eastAsia="zh-CN"/>
        </w:rPr>
      </w:pPr>
      <w:r>
        <w:rPr>
          <w:rFonts w:hint="eastAsia" w:ascii="Times New Roman" w:hAnsi="Times New Roman" w:eastAsia="黑体" w:cs="Times New Roman"/>
          <w:sz w:val="32"/>
          <w:szCs w:val="32"/>
          <w:lang w:eastAsia="zh-CN"/>
        </w:rPr>
        <w:t>三</w:t>
      </w:r>
      <w:r>
        <w:rPr>
          <w:rFonts w:hint="eastAsia" w:ascii="Times New Roman" w:hAnsi="Times New Roman" w:eastAsia="黑体" w:cs="Times New Roman"/>
          <w:sz w:val="32"/>
          <w:szCs w:val="32"/>
        </w:rPr>
        <w:t>、洽谈供应商名称：</w:t>
      </w:r>
      <w:r>
        <w:rPr>
          <w:rFonts w:hint="eastAsia" w:ascii="Times New Roman" w:eastAsia="仿宋_GB2312" w:cs="Times New Roman"/>
          <w:sz w:val="32"/>
          <w:szCs w:val="32"/>
        </w:rPr>
        <w:t>平安国际智慧城市科技股份有限公司。</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黑体" w:cs="Times New Roman"/>
          <w:sz w:val="32"/>
          <w:szCs w:val="32"/>
          <w:lang w:eastAsia="zh-CN"/>
        </w:rPr>
        <w:t>四</w:t>
      </w:r>
      <w:r>
        <w:rPr>
          <w:rFonts w:ascii="Times New Roman" w:hAnsi="Times New Roman" w:eastAsia="黑体" w:cs="Times New Roman"/>
          <w:sz w:val="32"/>
          <w:szCs w:val="32"/>
        </w:rPr>
        <w:t>、公示时间</w:t>
      </w:r>
      <w:r>
        <w:rPr>
          <w:rFonts w:ascii="Times New Roman" w:hAnsi="Times New Roman" w:eastAsia="仿宋_GB2312" w:cs="Times New Roman"/>
          <w:sz w:val="32"/>
          <w:szCs w:val="32"/>
        </w:rPr>
        <w:t>：2020年</w:t>
      </w:r>
      <w:r>
        <w:rPr>
          <w:rFonts w:hint="eastAsia" w:ascii="Times New Roman" w:hAnsi="Times New Roman" w:eastAsia="仿宋_GB2312" w:cs="Times New Roman"/>
          <w:sz w:val="32"/>
          <w:szCs w:val="32"/>
          <w:lang w:val="en-US" w:eastAsia="zh-CN"/>
        </w:rPr>
        <w:t>9</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18</w:t>
      </w:r>
      <w:r>
        <w:rPr>
          <w:rFonts w:ascii="Times New Roman" w:hAnsi="Times New Roman" w:eastAsia="仿宋_GB2312" w:cs="Times New Roman"/>
          <w:sz w:val="32"/>
          <w:szCs w:val="32"/>
        </w:rPr>
        <w:t>日至</w:t>
      </w:r>
      <w:r>
        <w:rPr>
          <w:rFonts w:hint="eastAsia" w:ascii="Times New Roman" w:hAnsi="Times New Roman" w:eastAsia="仿宋_GB2312" w:cs="Times New Roman"/>
          <w:sz w:val="32"/>
          <w:szCs w:val="32"/>
          <w:lang w:val="en-US" w:eastAsia="zh-CN"/>
        </w:rPr>
        <w:t>25</w:t>
      </w:r>
      <w:r>
        <w:rPr>
          <w:rFonts w:ascii="Times New Roman" w:hAnsi="Times New Roman" w:eastAsia="仿宋_GB2312" w:cs="Times New Roman"/>
          <w:sz w:val="32"/>
          <w:szCs w:val="32"/>
        </w:rPr>
        <w:t>日</w:t>
      </w:r>
      <w:r>
        <w:rPr>
          <w:rFonts w:hint="eastAsia" w:ascii="Times New Roman" w:hAnsi="Times New Roman" w:eastAsia="仿宋_GB2312" w:cs="Times New Roman"/>
          <w:sz w:val="32"/>
          <w:szCs w:val="32"/>
          <w:lang w:eastAsia="zh-CN"/>
        </w:rPr>
        <w:t>。</w:t>
      </w:r>
    </w:p>
    <w:p>
      <w:pPr>
        <w:spacing w:line="560" w:lineRule="exact"/>
        <w:ind w:firstLine="630"/>
        <w:rPr>
          <w:rFonts w:hint="eastAsia" w:ascii="Times New Roman" w:hAnsi="Times New Roman" w:eastAsia="仿宋_GB2312" w:cs="Times New Roman"/>
          <w:sz w:val="32"/>
          <w:szCs w:val="32"/>
          <w:lang w:eastAsia="zh-CN"/>
        </w:rPr>
      </w:pPr>
      <w:r>
        <w:rPr>
          <w:rFonts w:hint="eastAsia" w:ascii="Times New Roman" w:hAnsi="Times New Roman" w:eastAsia="黑体" w:cs="Times New Roman"/>
          <w:sz w:val="32"/>
          <w:szCs w:val="32"/>
          <w:lang w:eastAsia="zh-CN"/>
        </w:rPr>
        <w:t>五</w:t>
      </w:r>
      <w:r>
        <w:rPr>
          <w:rFonts w:ascii="Times New Roman" w:hAnsi="Times New Roman" w:eastAsia="黑体" w:cs="Times New Roman"/>
          <w:sz w:val="32"/>
          <w:szCs w:val="32"/>
        </w:rPr>
        <w:t>、</w:t>
      </w:r>
      <w:r>
        <w:rPr>
          <w:rFonts w:hint="eastAsia" w:ascii="Times New Roman" w:hAnsi="Times New Roman" w:eastAsia="黑体" w:cs="Times New Roman"/>
          <w:sz w:val="32"/>
          <w:szCs w:val="32"/>
        </w:rPr>
        <w:t>洽谈</w:t>
      </w:r>
      <w:r>
        <w:rPr>
          <w:rFonts w:ascii="Times New Roman" w:hAnsi="Times New Roman" w:eastAsia="黑体" w:cs="Times New Roman"/>
          <w:sz w:val="32"/>
          <w:szCs w:val="32"/>
        </w:rPr>
        <w:t>时间</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9</w:t>
      </w:r>
      <w:bookmarkStart w:id="45" w:name="_GoBack"/>
      <w:bookmarkEnd w:id="45"/>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25</w:t>
      </w:r>
      <w:r>
        <w:rPr>
          <w:rFonts w:ascii="Times New Roman" w:hAnsi="Times New Roman" w:eastAsia="仿宋_GB2312" w:cs="Times New Roman"/>
          <w:sz w:val="32"/>
          <w:szCs w:val="32"/>
        </w:rPr>
        <w:t>日下午</w:t>
      </w:r>
      <w:r>
        <w:rPr>
          <w:rFonts w:hint="eastAsia" w:ascii="Times New Roman" w:hAnsi="Times New Roman" w:eastAsia="仿宋_GB2312" w:cs="Times New Roman"/>
          <w:sz w:val="32"/>
          <w:szCs w:val="32"/>
          <w:lang w:val="en-US" w:eastAsia="zh-CN"/>
        </w:rPr>
        <w:t>16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0，地点：工农南路150号政务中心</w:t>
      </w:r>
      <w:r>
        <w:rPr>
          <w:rFonts w:hint="eastAsia" w:ascii="Times New Roman" w:hAnsi="Times New Roman" w:eastAsia="仿宋_GB2312" w:cs="Times New Roman"/>
          <w:sz w:val="32"/>
          <w:szCs w:val="32"/>
          <w:lang w:eastAsia="zh-CN"/>
        </w:rPr>
        <w:t>主楼</w:t>
      </w:r>
      <w:r>
        <w:rPr>
          <w:rFonts w:hint="eastAsia" w:ascii="Times New Roman" w:hAnsi="Times New Roman" w:eastAsia="仿宋_GB2312" w:cs="Times New Roman"/>
          <w:sz w:val="32"/>
          <w:szCs w:val="32"/>
          <w:lang w:val="en-US" w:eastAsia="zh-CN"/>
        </w:rPr>
        <w:t>6楼西会议室</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上述时间和地点如有变动，另行通知。</w:t>
      </w:r>
    </w:p>
    <w:p>
      <w:pPr>
        <w:pStyle w:val="16"/>
        <w:spacing w:line="570" w:lineRule="exact"/>
        <w:ind w:firstLine="630"/>
        <w:jc w:val="left"/>
        <w:rPr>
          <w:rFonts w:ascii="Times New Roman" w:eastAsia="仿宋_GB2312"/>
          <w:snapToGrid/>
          <w:kern w:val="2"/>
          <w:sz w:val="32"/>
          <w:szCs w:val="32"/>
        </w:rPr>
      </w:pPr>
      <w:r>
        <w:rPr>
          <w:rFonts w:hint="eastAsia" w:ascii="Times New Roman" w:eastAsia="黑体"/>
          <w:sz w:val="32"/>
          <w:szCs w:val="32"/>
          <w:lang w:eastAsia="zh-CN"/>
        </w:rPr>
        <w:t>六</w:t>
      </w:r>
      <w:r>
        <w:rPr>
          <w:rFonts w:ascii="Times New Roman" w:eastAsia="黑体"/>
          <w:sz w:val="32"/>
          <w:szCs w:val="32"/>
        </w:rPr>
        <w:t>、评标方式：</w:t>
      </w:r>
      <w:r>
        <w:rPr>
          <w:rFonts w:hint="eastAsia" w:ascii="Times New Roman" w:eastAsia="仿宋_GB2312"/>
          <w:snapToGrid/>
          <w:kern w:val="2"/>
          <w:sz w:val="32"/>
          <w:szCs w:val="32"/>
          <w:lang w:eastAsia="zh-CN"/>
        </w:rPr>
        <w:t>由局采购小组根据</w:t>
      </w:r>
      <w:r>
        <w:rPr>
          <w:rFonts w:ascii="Times New Roman" w:hAnsi="Times New Roman" w:eastAsia="方正仿宋_GBK" w:cs="Times New Roman"/>
          <w:sz w:val="32"/>
          <w:szCs w:val="32"/>
        </w:rPr>
        <w:t>《南通市行政审批局关于印发&lt;信息化项目采购管理规定&gt;的通知》（</w:t>
      </w:r>
      <w:r>
        <w:rPr>
          <w:rFonts w:hint="eastAsia" w:eastAsia="方正仿宋_GBK" w:cs="方正仿宋_GBK"/>
          <w:snapToGrid w:val="0"/>
          <w:color w:val="000000"/>
          <w:kern w:val="0"/>
          <w:sz w:val="32"/>
          <w:szCs w:val="32"/>
        </w:rPr>
        <w:t>通行审发</w:t>
      </w:r>
      <w:r>
        <w:rPr>
          <w:rFonts w:ascii="Times New Roman" w:eastAsia="方正仿宋_GBK"/>
          <w:snapToGrid w:val="0"/>
          <w:color w:val="000000"/>
          <w:kern w:val="0"/>
          <w:sz w:val="32"/>
          <w:szCs w:val="32"/>
        </w:rPr>
        <w:t>〔</w:t>
      </w:r>
      <w:r>
        <w:rPr>
          <w:rFonts w:ascii="Times New Roman" w:hAnsi="Times New Roman" w:eastAsia="方正仿宋_GBK"/>
          <w:snapToGrid w:val="0"/>
          <w:color w:val="000000"/>
          <w:kern w:val="0"/>
          <w:sz w:val="32"/>
          <w:szCs w:val="32"/>
        </w:rPr>
        <w:t>2020</w:t>
      </w:r>
      <w:r>
        <w:rPr>
          <w:rFonts w:ascii="Times New Roman" w:eastAsia="方正仿宋_GBK"/>
          <w:snapToGrid w:val="0"/>
          <w:color w:val="000000"/>
          <w:kern w:val="0"/>
          <w:sz w:val="32"/>
          <w:szCs w:val="32"/>
        </w:rPr>
        <w:t>〕</w:t>
      </w:r>
      <w:r>
        <w:rPr>
          <w:rFonts w:hint="eastAsia" w:ascii="Times New Roman" w:hAnsi="Times New Roman" w:eastAsia="方正仿宋_GBK"/>
          <w:snapToGrid w:val="0"/>
          <w:color w:val="000000"/>
          <w:kern w:val="0"/>
          <w:sz w:val="32"/>
          <w:szCs w:val="32"/>
        </w:rPr>
        <w:t>41</w:t>
      </w:r>
      <w:r>
        <w:rPr>
          <w:rFonts w:ascii="Times New Roman" w:eastAsia="方正仿宋_GBK"/>
          <w:snapToGrid w:val="0"/>
          <w:color w:val="000000"/>
          <w:kern w:val="0"/>
          <w:sz w:val="32"/>
          <w:szCs w:val="32"/>
        </w:rPr>
        <w:t>号</w:t>
      </w:r>
      <w:r>
        <w:rPr>
          <w:rFonts w:ascii="Times New Roman" w:hAnsi="Times New Roman" w:eastAsia="方正仿宋_GBK" w:cs="Times New Roman"/>
          <w:sz w:val="32"/>
          <w:szCs w:val="32"/>
        </w:rPr>
        <w:t>）</w:t>
      </w:r>
      <w:r>
        <w:rPr>
          <w:rFonts w:hint="eastAsia" w:ascii="Times New Roman" w:eastAsia="仿宋_GB2312"/>
          <w:snapToGrid/>
          <w:kern w:val="2"/>
          <w:sz w:val="32"/>
          <w:szCs w:val="32"/>
          <w:lang w:eastAsia="zh-CN"/>
        </w:rPr>
        <w:t>组织实施</w:t>
      </w:r>
      <w:r>
        <w:rPr>
          <w:rFonts w:ascii="Times New Roman" w:eastAsia="仿宋_GB2312"/>
          <w:snapToGrid/>
          <w:kern w:val="2"/>
          <w:sz w:val="32"/>
          <w:szCs w:val="32"/>
        </w:rPr>
        <w:t>。</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黑体" w:cs="Times New Roman"/>
          <w:sz w:val="32"/>
          <w:szCs w:val="32"/>
        </w:rPr>
        <w:t xml:space="preserve">  </w:t>
      </w:r>
      <w:r>
        <w:rPr>
          <w:rFonts w:hint="eastAsia" w:ascii="Times New Roman" w:hAnsi="Times New Roman" w:eastAsia="黑体" w:cs="Times New Roman"/>
          <w:sz w:val="32"/>
          <w:szCs w:val="32"/>
          <w:lang w:eastAsia="zh-CN"/>
        </w:rPr>
        <w:t>七</w:t>
      </w:r>
      <w:r>
        <w:rPr>
          <w:rFonts w:ascii="Times New Roman" w:hAnsi="Times New Roman" w:eastAsia="黑体" w:cs="Times New Roman"/>
          <w:sz w:val="32"/>
          <w:szCs w:val="32"/>
        </w:rPr>
        <w:t>、联系人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余荣荣</w:t>
      </w:r>
      <w:r>
        <w:rPr>
          <w:rFonts w:ascii="Times New Roman" w:hAnsi="Times New Roman" w:eastAsia="仿宋_GB2312" w:cs="Times New Roman"/>
          <w:sz w:val="32"/>
          <w:szCs w:val="32"/>
        </w:rPr>
        <w:t>，联系电话：59000800。</w:t>
      </w:r>
    </w:p>
    <w:p>
      <w:pPr>
        <w:tabs>
          <w:tab w:val="left" w:pos="5325"/>
        </w:tabs>
        <w:snapToGrid w:val="0"/>
        <w:spacing w:line="560" w:lineRule="exact"/>
        <w:ind w:firstLine="566" w:firstLineChars="177"/>
        <w:contextualSpacing/>
        <w:rPr>
          <w:rFonts w:hint="eastAsia" w:ascii="Times New Roman" w:hAnsi="Times New Roman" w:eastAsia="方正仿宋_GBK" w:cs="Times New Roman"/>
          <w:sz w:val="32"/>
          <w:szCs w:val="32"/>
          <w:lang w:eastAsia="zh-CN"/>
        </w:rPr>
      </w:pPr>
      <w:r>
        <w:rPr>
          <w:rFonts w:ascii="Times New Roman" w:hAnsi="Times New Roman" w:eastAsia="黑体" w:cs="Times New Roman"/>
          <w:sz w:val="32"/>
          <w:szCs w:val="32"/>
        </w:rPr>
        <w:t>附件：</w:t>
      </w:r>
      <w:r>
        <w:rPr>
          <w:rFonts w:hint="eastAsia" w:ascii="Times New Roman" w:hAnsi="Times New Roman" w:eastAsia="方正仿宋_GBK"/>
          <w:snapToGrid w:val="0"/>
          <w:color w:val="000000"/>
          <w:kern w:val="0"/>
          <w:sz w:val="32"/>
          <w:szCs w:val="32"/>
        </w:rPr>
        <w:t>“互联网+监管”可视化平台</w:t>
      </w:r>
      <w:r>
        <w:rPr>
          <w:rFonts w:hint="eastAsia" w:ascii="Times New Roman" w:hAnsi="Times New Roman" w:eastAsia="方正仿宋_GBK" w:cs="Times New Roman"/>
          <w:sz w:val="32"/>
          <w:szCs w:val="32"/>
          <w:lang w:eastAsia="zh-CN"/>
        </w:rPr>
        <w:t>项目采购需求</w:t>
      </w:r>
    </w:p>
    <w:p>
      <w:pPr>
        <w:tabs>
          <w:tab w:val="left" w:pos="5325"/>
        </w:tabs>
        <w:snapToGrid w:val="0"/>
        <w:spacing w:line="560" w:lineRule="exact"/>
        <w:ind w:firstLine="566" w:firstLineChars="177"/>
        <w:contextualSpacing/>
        <w:rPr>
          <w:rFonts w:hint="eastAsia" w:ascii="Times New Roman" w:hAnsi="Times New Roman" w:eastAsia="方正仿宋_GBK" w:cs="Times New Roman"/>
          <w:sz w:val="32"/>
          <w:szCs w:val="32"/>
          <w:lang w:eastAsia="zh-CN"/>
        </w:rPr>
      </w:pPr>
    </w:p>
    <w:p>
      <w:pPr>
        <w:spacing w:line="560" w:lineRule="exact"/>
        <w:jc w:val="righ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南通市行政审批局  </w:t>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2020年</w:t>
      </w:r>
      <w:r>
        <w:rPr>
          <w:rFonts w:hint="eastAsia" w:ascii="Times New Roman" w:hAnsi="Times New Roman" w:eastAsia="仿宋_GB2312" w:cs="Times New Roman"/>
          <w:sz w:val="32"/>
          <w:szCs w:val="32"/>
          <w:lang w:val="en-US" w:eastAsia="zh-CN"/>
        </w:rPr>
        <w:t>9</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18</w:t>
      </w:r>
      <w:r>
        <w:rPr>
          <w:rFonts w:ascii="Times New Roman" w:hAnsi="Times New Roman" w:eastAsia="仿宋_GB2312" w:cs="Times New Roman"/>
          <w:sz w:val="32"/>
          <w:szCs w:val="32"/>
        </w:rPr>
        <w:t>日</w:t>
      </w:r>
    </w:p>
    <w:p>
      <w:pPr>
        <w:widowControl/>
        <w:jc w:val="center"/>
        <w:rPr>
          <w:rFonts w:ascii="Times New Roman" w:hAnsi="Times New Roman" w:eastAsia="黑体" w:cs="Times New Roman"/>
          <w:sz w:val="44"/>
          <w:szCs w:val="44"/>
        </w:rPr>
      </w:pPr>
      <w:r>
        <w:rPr>
          <w:rFonts w:ascii="Times New Roman" w:hAnsi="Times New Roman" w:eastAsia="仿宋_GB2312" w:cs="Times New Roman"/>
          <w:sz w:val="32"/>
          <w:szCs w:val="32"/>
        </w:rPr>
        <w:br w:type="page"/>
      </w:r>
      <w:r>
        <w:rPr>
          <w:rFonts w:hint="eastAsia" w:ascii="Times New Roman" w:hAnsi="Times New Roman" w:eastAsia="黑体" w:cs="Times New Roman"/>
          <w:sz w:val="44"/>
          <w:szCs w:val="44"/>
          <w:lang w:eastAsia="zh-CN"/>
        </w:rPr>
        <w:t>“互联网+监管”可视化平台项目采购</w:t>
      </w:r>
      <w:r>
        <w:rPr>
          <w:rFonts w:ascii="Times New Roman" w:hAnsi="Times New Roman" w:eastAsia="黑体" w:cs="Times New Roman"/>
          <w:sz w:val="44"/>
          <w:szCs w:val="44"/>
        </w:rPr>
        <w:t>需求</w:t>
      </w:r>
    </w:p>
    <w:p>
      <w:pPr>
        <w:spacing w:line="520" w:lineRule="exact"/>
        <w:ind w:firstLine="720" w:firstLineChars="225"/>
        <w:rPr>
          <w:rFonts w:ascii="Times New Roman" w:hAnsi="Times New Roman" w:eastAsia="方正仿宋_GBK" w:cs="Times New Roman"/>
          <w:sz w:val="32"/>
          <w:szCs w:val="32"/>
        </w:rPr>
      </w:pPr>
    </w:p>
    <w:p>
      <w:pPr>
        <w:widowControl/>
        <w:ind w:left="0" w:leftChars="0" w:firstLine="0" w:firstLineChars="0"/>
        <w:rPr>
          <w:rFonts w:ascii="黑体" w:hAnsi="黑体" w:eastAsia="黑体"/>
          <w:sz w:val="32"/>
          <w:szCs w:val="32"/>
        </w:rPr>
      </w:pPr>
      <w:bookmarkStart w:id="0" w:name="_Toc344724549"/>
      <w:r>
        <w:rPr>
          <w:rFonts w:hint="eastAsia" w:ascii="黑体" w:hAnsi="黑体" w:eastAsia="黑体"/>
          <w:sz w:val="32"/>
          <w:szCs w:val="32"/>
          <w:lang w:eastAsia="zh-CN"/>
        </w:rPr>
        <w:t>一、项目背景</w:t>
      </w:r>
    </w:p>
    <w:p>
      <w:pPr>
        <w:pStyle w:val="18"/>
        <w:ind w:left="0" w:leftChars="0" w:firstLine="560" w:firstLineChars="200"/>
        <w:rPr>
          <w:rFonts w:hint="eastAsia" w:ascii="方正仿宋_GBK" w:hAnsi="方正仿宋_GBK" w:eastAsia="方正仿宋_GBK" w:cs="方正仿宋_GBK"/>
          <w:color w:val="000000"/>
          <w:kern w:val="0"/>
          <w:sz w:val="28"/>
          <w:szCs w:val="28"/>
          <w:lang w:val="en-US" w:eastAsia="zh-CN" w:bidi="ar-SA"/>
        </w:rPr>
      </w:pPr>
      <w:bookmarkStart w:id="1" w:name="_Toc18506295"/>
      <w:bookmarkStart w:id="2" w:name="_Toc352159494"/>
      <w:bookmarkStart w:id="3" w:name="_Toc352076220"/>
      <w:bookmarkStart w:id="4" w:name="_Toc360440039"/>
      <w:r>
        <w:rPr>
          <w:rFonts w:hint="eastAsia" w:ascii="方正仿宋_GBK" w:hAnsi="方正仿宋_GBK" w:eastAsia="方正仿宋_GBK" w:cs="方正仿宋_GBK"/>
          <w:color w:val="000000"/>
          <w:kern w:val="0"/>
          <w:sz w:val="28"/>
          <w:szCs w:val="28"/>
          <w:lang w:val="en-US" w:eastAsia="zh-CN" w:bidi="ar-SA"/>
        </w:rPr>
        <w:t>南通市行政审批局按照国家、省、市各级工作要求建设了南通市“互联网+监管”系统，实现了监管数据的归集，本次拟建设可视化分析平台，依托监管数据中心归集的监管数据，对本地区各级部门执法监管动态情况开展多维度分析，并进行可视化展示，为领导决策、政府管理、社会服务提供数据支持，实现对监管的“监管”。</w:t>
      </w:r>
    </w:p>
    <w:p>
      <w:pPr>
        <w:widowControl/>
        <w:numPr>
          <w:ilvl w:val="0"/>
          <w:numId w:val="3"/>
        </w:numPr>
        <w:ind w:leftChars="0"/>
        <w:rPr>
          <w:rFonts w:hint="eastAsia" w:ascii="黑体" w:hAnsi="黑体" w:eastAsia="黑体"/>
          <w:sz w:val="32"/>
          <w:szCs w:val="32"/>
        </w:rPr>
      </w:pPr>
      <w:r>
        <w:rPr>
          <w:rFonts w:hint="eastAsia" w:ascii="黑体" w:hAnsi="黑体" w:eastAsia="黑体"/>
          <w:sz w:val="32"/>
          <w:szCs w:val="32"/>
        </w:rPr>
        <w:t>建设内容</w:t>
      </w:r>
      <w:bookmarkEnd w:id="1"/>
      <w:bookmarkEnd w:id="2"/>
      <w:bookmarkEnd w:id="3"/>
      <w:bookmarkEnd w:id="4"/>
      <w:bookmarkStart w:id="5" w:name="_Toc499191820"/>
      <w:bookmarkEnd w:id="5"/>
      <w:bookmarkStart w:id="6" w:name="_Toc478290112"/>
      <w:bookmarkEnd w:id="6"/>
      <w:bookmarkStart w:id="7" w:name="_Toc478291271"/>
      <w:bookmarkEnd w:id="7"/>
      <w:bookmarkStart w:id="8" w:name="_Toc494535757"/>
      <w:bookmarkEnd w:id="8"/>
      <w:bookmarkStart w:id="9" w:name="_Toc475708600"/>
      <w:bookmarkEnd w:id="9"/>
      <w:bookmarkStart w:id="10" w:name="_Toc478076996"/>
      <w:bookmarkEnd w:id="10"/>
      <w:bookmarkStart w:id="11" w:name="_Toc485743134"/>
      <w:bookmarkEnd w:id="11"/>
      <w:bookmarkStart w:id="12" w:name="_Toc478077051"/>
      <w:bookmarkEnd w:id="12"/>
      <w:bookmarkStart w:id="13" w:name="_Toc495239946"/>
      <w:bookmarkEnd w:id="13"/>
      <w:bookmarkStart w:id="14" w:name="_Toc499136911"/>
      <w:bookmarkEnd w:id="14"/>
      <w:bookmarkStart w:id="15" w:name="_Toc536779340"/>
      <w:bookmarkEnd w:id="15"/>
      <w:bookmarkStart w:id="16" w:name="_Toc536779760"/>
      <w:bookmarkEnd w:id="16"/>
      <w:bookmarkStart w:id="17" w:name="_Toc478290261"/>
      <w:bookmarkEnd w:id="17"/>
      <w:bookmarkStart w:id="18" w:name="_Toc477284272"/>
      <w:bookmarkEnd w:id="18"/>
      <w:bookmarkStart w:id="19" w:name="_Toc476131748"/>
      <w:bookmarkEnd w:id="19"/>
      <w:bookmarkStart w:id="20" w:name="_Toc536779758"/>
      <w:bookmarkEnd w:id="20"/>
      <w:bookmarkStart w:id="21" w:name="_Toc536776912"/>
      <w:bookmarkEnd w:id="21"/>
      <w:bookmarkStart w:id="22" w:name="_Toc500286072"/>
      <w:bookmarkEnd w:id="22"/>
      <w:bookmarkStart w:id="23" w:name="_Toc536780370"/>
      <w:bookmarkEnd w:id="23"/>
      <w:bookmarkStart w:id="24" w:name="_Toc536776910"/>
      <w:bookmarkEnd w:id="24"/>
      <w:bookmarkStart w:id="25" w:name="_Toc466832963"/>
      <w:bookmarkEnd w:id="25"/>
      <w:bookmarkStart w:id="26" w:name="_Toc475707989"/>
      <w:bookmarkEnd w:id="26"/>
      <w:bookmarkStart w:id="27" w:name="_Toc466792962"/>
      <w:bookmarkEnd w:id="27"/>
      <w:bookmarkStart w:id="28" w:name="_Toc499191893"/>
      <w:bookmarkEnd w:id="28"/>
      <w:bookmarkStart w:id="29" w:name="_Toc477284613"/>
      <w:bookmarkEnd w:id="29"/>
      <w:bookmarkStart w:id="30" w:name="_Toc536780372"/>
      <w:bookmarkEnd w:id="30"/>
      <w:bookmarkStart w:id="31" w:name="_Toc18506298"/>
      <w:bookmarkEnd w:id="31"/>
      <w:bookmarkStart w:id="32" w:name="_Toc18506296"/>
      <w:bookmarkEnd w:id="32"/>
      <w:bookmarkStart w:id="33" w:name="_Toc477621331"/>
      <w:bookmarkEnd w:id="33"/>
      <w:bookmarkStart w:id="34" w:name="_Toc477265847"/>
      <w:bookmarkEnd w:id="34"/>
      <w:bookmarkStart w:id="35" w:name="_Toc475708681"/>
      <w:bookmarkEnd w:id="35"/>
      <w:bookmarkStart w:id="36" w:name="_Toc477284540"/>
      <w:bookmarkEnd w:id="36"/>
      <w:bookmarkStart w:id="37" w:name="_Toc536779338"/>
      <w:bookmarkEnd w:id="37"/>
      <w:bookmarkStart w:id="38" w:name="_Toc475738032"/>
      <w:bookmarkEnd w:id="38"/>
      <w:bookmarkStart w:id="39" w:name="_Toc476148317"/>
      <w:bookmarkEnd w:id="39"/>
      <w:bookmarkStart w:id="40" w:name="_Toc495262435"/>
      <w:bookmarkEnd w:id="40"/>
      <w:bookmarkStart w:id="41" w:name="_Toc26811"/>
      <w:bookmarkStart w:id="42" w:name="_Toc500286074"/>
    </w:p>
    <w:bookmarkEnd w:id="41"/>
    <w:bookmarkEnd w:id="42"/>
    <w:p>
      <w:pPr>
        <w:ind w:firstLine="560" w:firstLineChars="200"/>
        <w:rPr>
          <w:rFonts w:hint="eastAsia" w:ascii="方正仿宋_GBK" w:hAnsi="方正仿宋_GBK" w:eastAsia="方正仿宋_GBK" w:cs="方正仿宋_GBK"/>
          <w:color w:val="000000"/>
          <w:kern w:val="0"/>
          <w:sz w:val="28"/>
          <w:szCs w:val="28"/>
          <w:lang w:val="en-US" w:eastAsia="zh-CN" w:bidi="ar-SA"/>
        </w:rPr>
      </w:pPr>
      <w:r>
        <w:rPr>
          <w:rFonts w:hint="eastAsia" w:ascii="方正仿宋_GBK" w:hAnsi="方正仿宋_GBK" w:eastAsia="方正仿宋_GBK" w:cs="方正仿宋_GBK"/>
          <w:color w:val="000000"/>
          <w:kern w:val="0"/>
          <w:sz w:val="28"/>
          <w:szCs w:val="28"/>
          <w:lang w:val="en-US" w:eastAsia="zh-CN" w:bidi="ar-SA"/>
        </w:rPr>
        <w:t>建设可视化分析模块，利用数据中心基础数据和智能化统计分析工具，开展大数据关联分析，按照不同维度和主题对监管数据和结果进行分类，同时对监管对象类型、结构及信用等各类指标的统计分析，生成综合分析可视化大屏。</w:t>
      </w:r>
    </w:p>
    <w:p>
      <w:pPr>
        <w:keepNext/>
        <w:widowControl w:val="0"/>
        <w:numPr>
          <w:ilvl w:val="1"/>
          <w:numId w:val="4"/>
        </w:numPr>
        <w:tabs>
          <w:tab w:val="left" w:pos="575"/>
        </w:tabs>
        <w:snapToGrid w:val="0"/>
        <w:spacing w:before="163" w:beforeLines="50" w:after="163" w:afterLines="50" w:line="360" w:lineRule="auto"/>
        <w:ind w:left="0" w:leftChars="0" w:firstLine="0" w:firstLineChars="0"/>
        <w:jc w:val="both"/>
        <w:outlineLvl w:val="1"/>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可视化基础组件</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可视化数据管理底层</w:t>
      </w:r>
    </w:p>
    <w:p>
      <w:pPr>
        <w:tabs>
          <w:tab w:val="left" w:pos="567"/>
        </w:tabs>
        <w:spacing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全面梳理展示数据，融合入库，形成数据分析业务完整业务流程。按照特定的规律对数据进行分门别类和规范化。对面向应用和主题的数据集成采用维度建模，面向实际应用和主题对数据进行预处理，保证性能。数据分析及可视化展示系统可通过数据管理底层框架，完成对数据的融合、入库及接口提供。</w:t>
      </w:r>
    </w:p>
    <w:p>
      <w:pPr>
        <w:tabs>
          <w:tab w:val="left" w:pos="567"/>
        </w:tabs>
        <w:spacing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本模块提供数据对接底座、数据预处理、数据融合、内部数据接口。</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调度管理</w:t>
      </w:r>
    </w:p>
    <w:p>
      <w:pPr>
        <w:spacing w:line="360" w:lineRule="auto"/>
        <w:ind w:firstLine="560" w:firstLineChars="200"/>
        <w:rPr>
          <w:rFonts w:hint="eastAsia" w:ascii="方正仿宋_GBK" w:hAnsi="方正仿宋_GBK" w:eastAsia="方正仿宋_GBK" w:cs="方正仿宋_GBK"/>
          <w:b w:val="0"/>
          <w:bCs w:val="0"/>
          <w:kern w:val="0"/>
          <w:sz w:val="28"/>
          <w:szCs w:val="28"/>
        </w:rPr>
      </w:pPr>
      <w:r>
        <w:rPr>
          <w:rFonts w:hint="eastAsia" w:ascii="方正仿宋_GBK" w:hAnsi="方正仿宋_GBK" w:eastAsia="方正仿宋_GBK" w:cs="方正仿宋_GBK"/>
          <w:b w:val="0"/>
          <w:bCs w:val="0"/>
          <w:kern w:val="0"/>
          <w:sz w:val="28"/>
          <w:szCs w:val="28"/>
        </w:rPr>
        <w:t>在某个特定时间段或周期性执行一个或多个任务，任务可以是一段业务逻辑代码、Shell命令、Python脚本、存储过程等，通过定制定时任务可以完成消息提醒、数据库数据维护、数据计算统计等工作。</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缓存机制</w:t>
      </w:r>
    </w:p>
    <w:p>
      <w:pPr>
        <w:spacing w:line="360" w:lineRule="auto"/>
        <w:ind w:firstLine="560" w:firstLineChars="200"/>
        <w:rPr>
          <w:rFonts w:hint="eastAsia" w:ascii="方正仿宋_GBK" w:hAnsi="方正仿宋_GBK" w:eastAsia="方正仿宋_GBK" w:cs="方正仿宋_GBK"/>
          <w:b w:val="0"/>
          <w:bCs w:val="0"/>
          <w:kern w:val="0"/>
          <w:sz w:val="28"/>
          <w:szCs w:val="28"/>
        </w:rPr>
      </w:pPr>
      <w:r>
        <w:rPr>
          <w:rFonts w:hint="eastAsia" w:ascii="方正仿宋_GBK" w:hAnsi="方正仿宋_GBK" w:eastAsia="方正仿宋_GBK" w:cs="方正仿宋_GBK"/>
          <w:b w:val="0"/>
          <w:bCs w:val="0"/>
          <w:kern w:val="0"/>
          <w:sz w:val="28"/>
          <w:szCs w:val="28"/>
        </w:rPr>
        <w:t>缓存是数据交换的缓冲区。Web缓存大致可以分为数据库缓存、浏览器端缓存、服务器端缓存、Web应用层缓存等。通过使用缓存，可以减少网络带宽、降低服务器压力、减少网络延迟、提高用户体验。</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可视化服务组件</w:t>
      </w:r>
    </w:p>
    <w:p>
      <w:pPr>
        <w:spacing w:line="360" w:lineRule="auto"/>
        <w:ind w:firstLine="560" w:firstLineChars="200"/>
        <w:rPr>
          <w:rFonts w:hint="eastAsia" w:ascii="方正仿宋_GBK" w:hAnsi="方正仿宋_GBK" w:eastAsia="方正仿宋_GBK" w:cs="方正仿宋_GBK"/>
          <w:b w:val="0"/>
          <w:bCs w:val="0"/>
          <w:kern w:val="0"/>
          <w:sz w:val="28"/>
          <w:szCs w:val="28"/>
        </w:rPr>
      </w:pPr>
      <w:r>
        <w:rPr>
          <w:rFonts w:hint="eastAsia" w:ascii="方正仿宋_GBK" w:hAnsi="方正仿宋_GBK" w:eastAsia="方正仿宋_GBK" w:cs="方正仿宋_GBK"/>
          <w:b w:val="0"/>
          <w:bCs w:val="0"/>
          <w:kern w:val="0"/>
          <w:sz w:val="28"/>
          <w:szCs w:val="28"/>
        </w:rPr>
        <w:t>Web基础服务框架，是Web系统的核心，负责接收用户请求并返回资源对象给用户。主要负责的工作有：MVC分层、URL过滤与分发、VIEW渲染、HTTP参数预处理、安全控制等。通过分布式部署、集群等手段，提高系统的可用性和稳定性。</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可视化图表组件</w:t>
      </w:r>
    </w:p>
    <w:p>
      <w:pPr>
        <w:spacing w:line="360" w:lineRule="auto"/>
        <w:ind w:firstLine="560" w:firstLineChars="200"/>
        <w:rPr>
          <w:rFonts w:hint="eastAsia" w:ascii="方正仿宋_GBK" w:hAnsi="方正仿宋_GBK" w:eastAsia="方正仿宋_GBK" w:cs="方正仿宋_GBK"/>
          <w:b w:val="0"/>
          <w:bCs w:val="0"/>
          <w:kern w:val="0"/>
          <w:sz w:val="28"/>
          <w:szCs w:val="28"/>
        </w:rPr>
      </w:pPr>
      <w:r>
        <w:rPr>
          <w:rFonts w:hint="eastAsia" w:ascii="方正仿宋_GBK" w:hAnsi="方正仿宋_GBK" w:eastAsia="方正仿宋_GBK" w:cs="方正仿宋_GBK"/>
          <w:b w:val="0"/>
          <w:bCs w:val="0"/>
          <w:kern w:val="0"/>
          <w:sz w:val="28"/>
          <w:szCs w:val="28"/>
        </w:rPr>
        <w:t>以图表种类为单位（例如折线图、柱状图等），确定图表的样式及相应属性，由数据驱动图表的生成，达到“一处开发，多处引用”的状态，让组件与组件层次分明清晰，提高图表的复用率。</w:t>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柱图支持(2D、3D)</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柱状图用于显示一段时间内的数据变化或显示各项之间的比较情况。在柱状图中，通常沿横坐标轴组织类别，沿纵坐标轴组织值。</w:t>
      </w:r>
    </w:p>
    <w:p>
      <w:pPr>
        <w:spacing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2384425" cy="1401445"/>
            <wp:effectExtent l="0" t="0" r="0" b="0"/>
            <wp:docPr id="2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384425" cy="1401445"/>
                    </a:xfrm>
                    <a:prstGeom prst="rect">
                      <a:avLst/>
                    </a:prstGeom>
                    <a:noFill/>
                    <a:ln>
                      <a:noFill/>
                    </a:ln>
                  </pic:spPr>
                </pic:pic>
              </a:graphicData>
            </a:graphic>
          </wp:inline>
        </w:drawing>
      </w:r>
      <w:r>
        <w:rPr>
          <w:rFonts w:hint="eastAsia" w:ascii="方正仿宋_GBK" w:hAnsi="方正仿宋_GBK" w:eastAsia="方正仿宋_GBK" w:cs="方正仿宋_GBK"/>
          <w:b w:val="0"/>
          <w:bCs w:val="0"/>
          <w:sz w:val="28"/>
          <w:szCs w:val="28"/>
        </w:rPr>
        <w:t xml:space="preserve"> </w:t>
      </w:r>
      <w:r>
        <w:rPr>
          <w:rFonts w:hint="eastAsia" w:ascii="方正仿宋_GBK" w:hAnsi="方正仿宋_GBK" w:eastAsia="方正仿宋_GBK" w:cs="方正仿宋_GBK"/>
          <w:b w:val="0"/>
          <w:bCs w:val="0"/>
          <w:sz w:val="28"/>
          <w:szCs w:val="28"/>
        </w:rPr>
        <w:drawing>
          <wp:inline distT="0" distB="0" distL="0" distR="0">
            <wp:extent cx="2471420" cy="1405890"/>
            <wp:effectExtent l="0" t="0" r="0" b="0"/>
            <wp:docPr id="2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71420" cy="1405890"/>
                    </a:xfrm>
                    <a:prstGeom prst="rect">
                      <a:avLst/>
                    </a:prstGeom>
                    <a:noFill/>
                    <a:ln>
                      <a:noFill/>
                    </a:ln>
                  </pic:spPr>
                </pic:pic>
              </a:graphicData>
            </a:graphic>
          </wp:inline>
        </w:drawing>
      </w:r>
    </w:p>
    <w:p>
      <w:pPr>
        <w:spacing w:line="360" w:lineRule="auto"/>
        <w:ind w:firstLine="0" w:firstLineChars="0"/>
        <w:jc w:val="center"/>
        <w:rPr>
          <w:rFonts w:hint="eastAsia" w:ascii="方正仿宋_GBK" w:hAnsi="方正仿宋_GBK" w:eastAsia="方正仿宋_GBK" w:cs="方正仿宋_GBK"/>
          <w:b w:val="0"/>
          <w:bCs w:val="0"/>
          <w:sz w:val="28"/>
          <w:szCs w:val="28"/>
        </w:rPr>
      </w:pP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线图支持</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折线图可以显示随时间 （根据常用比例设置）而变化的连续数据，因此非常适用于显示在相等时间间隔下数据的趋势。在折线图中，类别数据沿水平轴均匀分布，所有值数据沿垂直轴均匀分布。</w:t>
      </w:r>
    </w:p>
    <w:p>
      <w:pPr>
        <w:spacing w:before="163" w:after="163" w:line="360" w:lineRule="auto"/>
        <w:ind w:firstLine="560" w:firstLineChars="200"/>
        <w:jc w:val="lef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2386330" cy="1450975"/>
            <wp:effectExtent l="0" t="0" r="0" b="0"/>
            <wp:docPr id="2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86330" cy="1450975"/>
                    </a:xfrm>
                    <a:prstGeom prst="rect">
                      <a:avLst/>
                    </a:prstGeom>
                    <a:noFill/>
                    <a:ln>
                      <a:noFill/>
                    </a:ln>
                  </pic:spPr>
                </pic:pic>
              </a:graphicData>
            </a:graphic>
          </wp:inline>
        </w:drawing>
      </w:r>
      <w:r>
        <w:rPr>
          <w:rFonts w:hint="eastAsia" w:ascii="方正仿宋_GBK" w:hAnsi="方正仿宋_GBK" w:eastAsia="方正仿宋_GBK" w:cs="方正仿宋_GBK"/>
          <w:b w:val="0"/>
          <w:bCs w:val="0"/>
          <w:sz w:val="28"/>
          <w:szCs w:val="28"/>
        </w:rPr>
        <w:drawing>
          <wp:inline distT="0" distB="0" distL="0" distR="0">
            <wp:extent cx="2635250" cy="1454785"/>
            <wp:effectExtent l="0" t="0" r="0" b="0"/>
            <wp:docPr id="228" name="图片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58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35250" cy="1454785"/>
                    </a:xfrm>
                    <a:prstGeom prst="rect">
                      <a:avLst/>
                    </a:prstGeom>
                    <a:noFill/>
                    <a:ln>
                      <a:noFill/>
                    </a:ln>
                  </pic:spPr>
                </pic:pic>
              </a:graphicData>
            </a:graphic>
          </wp:inline>
        </w:drawing>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堆积线图支持</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堆积折线图可用于显示各个值的分布随时间或排序的类别的变化趋势。</w:t>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点图支持</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点图显示若干数据系列中各数值之间的关系，或者将两组数绘制为xy坐标的一个系列。点图有两个数值轴，沿横坐标轴 （x轴）方向显示一组数值数据，沿纵坐标轴 （y轴）方向显示另一组数值数据。点图将这些数值合并到单一数据点并按不均匀的间隔或簇来显示它们。点图通常用于显示和比较数值，例如科学数据、统计数据和工程数据。</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4124325" cy="1819275"/>
            <wp:effectExtent l="0" t="0" r="0" b="0"/>
            <wp:docPr id="229" name="图片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58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24325" cy="1819275"/>
                    </a:xfrm>
                    <a:prstGeom prst="rect">
                      <a:avLst/>
                    </a:prstGeom>
                    <a:noFill/>
                    <a:ln>
                      <a:noFill/>
                    </a:ln>
                  </pic:spPr>
                </pic:pic>
              </a:graphicData>
            </a:graphic>
          </wp:inline>
        </w:drawing>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面积图支持</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面积图强调数量随时间而变化的程度，也可用于引起人们对总值趋势的注意。</w:t>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堆积面积图支持</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通过显示所绘制的值的总和，面积图还可以显示部分与整体的关系。</w:t>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饼图支持(2D/3D)</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饼图只有 X 轴绑定度量字段或只有 Y 轴绑定度量字段。饼图显示一个数据系列（数据系列：在图表中绘制的相关数据点，这些数据源自数据表的行或列。图表中的每个数据系列具有唯一的颜色或图案并且在图表的图例中表示。可以在图表中绘制一个或多个数据系列。饼图只有一个数据系列。）中各项的大小与各项总和的比例。饼图中的数据点（数据点：在图表中绘制的单个值，这些值由条形、柱形、折线、饼图或圆环图的扇面、圆点和其他被称为数据标记的图形表示。相同颜色的数据标记组成一个数据系列。）显示为整个饼图的百分比</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2572385" cy="1746250"/>
            <wp:effectExtent l="0" t="0" r="0" b="0"/>
            <wp:docPr id="230" name="图片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58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72385" cy="1746250"/>
                    </a:xfrm>
                    <a:prstGeom prst="rect">
                      <a:avLst/>
                    </a:prstGeom>
                    <a:noFill/>
                    <a:ln>
                      <a:noFill/>
                    </a:ln>
                  </pic:spPr>
                </pic:pic>
              </a:graphicData>
            </a:graphic>
          </wp:inline>
        </w:drawing>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3D 饼图使用三维透视效果显示数据:</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3286125" cy="1619250"/>
            <wp:effectExtent l="0" t="0" r="0" b="0"/>
            <wp:docPr id="231" name="图片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58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86125" cy="1619250"/>
                    </a:xfrm>
                    <a:prstGeom prst="rect">
                      <a:avLst/>
                    </a:prstGeom>
                    <a:noFill/>
                    <a:ln>
                      <a:noFill/>
                    </a:ln>
                  </pic:spPr>
                </pic:pic>
              </a:graphicData>
            </a:graphic>
          </wp:inline>
        </w:drawing>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环图支持(2D/3D)</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环状图只有 X 轴绑定度量字段或只有 Y 轴绑定度量字段，可以绘制到环状图中。显示数据的方式和饼图一样。</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2219325" cy="1571625"/>
            <wp:effectExtent l="0" t="0" r="0" b="0"/>
            <wp:docPr id="232" name="图片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58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19325" cy="1571625"/>
                    </a:xfrm>
                    <a:prstGeom prst="rect">
                      <a:avLst/>
                    </a:prstGeom>
                    <a:noFill/>
                    <a:ln>
                      <a:noFill/>
                    </a:ln>
                  </pic:spPr>
                </pic:pic>
              </a:graphicData>
            </a:graphic>
          </wp:inline>
        </w:drawing>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在环图中，可以设置分离，绑定参数，可以生成玫瑰图。</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2226310" cy="1723390"/>
            <wp:effectExtent l="0" t="0" r="0" b="0"/>
            <wp:docPr id="233" name="图片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58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26310" cy="1723390"/>
                    </a:xfrm>
                    <a:prstGeom prst="rect">
                      <a:avLst/>
                    </a:prstGeom>
                    <a:noFill/>
                    <a:ln>
                      <a:noFill/>
                    </a:ln>
                  </pic:spPr>
                </pic:pic>
              </a:graphicData>
            </a:graphic>
          </wp:inline>
        </w:drawing>
      </w:r>
      <w:r>
        <w:rPr>
          <w:rFonts w:hint="eastAsia" w:ascii="方正仿宋_GBK" w:hAnsi="方正仿宋_GBK" w:eastAsia="方正仿宋_GBK" w:cs="方正仿宋_GBK"/>
          <w:b w:val="0"/>
          <w:bCs w:val="0"/>
          <w:sz w:val="28"/>
          <w:szCs w:val="28"/>
        </w:rPr>
        <w:t xml:space="preserve"> </w:t>
      </w:r>
      <w:r>
        <w:rPr>
          <w:rFonts w:hint="eastAsia" w:ascii="方正仿宋_GBK" w:hAnsi="方正仿宋_GBK" w:eastAsia="方正仿宋_GBK" w:cs="方正仿宋_GBK"/>
          <w:b w:val="0"/>
          <w:bCs w:val="0"/>
          <w:sz w:val="28"/>
          <w:szCs w:val="28"/>
        </w:rPr>
        <w:drawing>
          <wp:inline distT="0" distB="0" distL="0" distR="0">
            <wp:extent cx="2238375" cy="1714500"/>
            <wp:effectExtent l="0" t="0" r="0" b="0"/>
            <wp:docPr id="234" name="图片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58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38375" cy="1714500"/>
                    </a:xfrm>
                    <a:prstGeom prst="rect">
                      <a:avLst/>
                    </a:prstGeom>
                    <a:noFill/>
                    <a:ln>
                      <a:noFill/>
                    </a:ln>
                  </pic:spPr>
                </pic:pic>
              </a:graphicData>
            </a:graphic>
          </wp:inline>
        </w:drawing>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雷达图支持</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雷达图（Radar Chart），又可称为戴</w:t>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HYPERLINK "http://baike.baidu.com/view/35545.htm" \t "_blank"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布拉</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t>图、蜘蛛网图（Spider Chart），主要应用于企业经营状况——收益性、生产性、流动性、安全性和成长性的评价。雷达图显示各值相对于中心点的变化，其中可能显示各个数据点的标记，也可能不显示这些标记。</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雷达图中，绑定参数值，可按照颜色填充，形成填充雷达图。</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3971925" cy="2057400"/>
            <wp:effectExtent l="0" t="0" r="0" b="0"/>
            <wp:docPr id="235" name="图片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58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71925" cy="2057400"/>
                    </a:xfrm>
                    <a:prstGeom prst="rect">
                      <a:avLst/>
                    </a:prstGeom>
                    <a:noFill/>
                    <a:ln>
                      <a:noFill/>
                    </a:ln>
                  </pic:spPr>
                </pic:pic>
              </a:graphicData>
            </a:graphic>
          </wp:inline>
        </w:drawing>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瀑布图</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瀑布图可显示数据的累积效果，最后进行汇总。当用户需要对汇总的柱子进行大小或颜色等的调整时需要通过该柱子的右键菜单中相对应的属性或格式进行设定。</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3400425" cy="1962150"/>
            <wp:effectExtent l="0" t="0" r="0" b="0"/>
            <wp:docPr id="236" name="图片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58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00425" cy="1962150"/>
                    </a:xfrm>
                    <a:prstGeom prst="rect">
                      <a:avLst/>
                    </a:prstGeom>
                    <a:noFill/>
                    <a:ln>
                      <a:noFill/>
                    </a:ln>
                  </pic:spPr>
                </pic:pic>
              </a:graphicData>
            </a:graphic>
          </wp:inline>
        </w:drawing>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帕累托图</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帕累托图是按照发生频率大小顺序绘制的直方图，表示有多少结果是由已确认类型或范畴的原因所造成。它是将出现的质量问题和质量改进项目按照重要程度依次排列而采用的一种图表。可以用来分析质量问题，确定产生质量问题的主要因素。当用户需要对帕累托图的线进行大小或颜色等的调整时需要通过该线的右键菜单中相对应的属性或格式进行设定。</w:t>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气泡图</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气泡图可用气泡的颜色、大小、数目等来形象的反映出报表中数据的定量关系。在气泡图中，通常沿纵坐标轴 （y 轴）绑定气泡字段表示选择气泡这种图表类型，沿横坐标轴 （x 轴）绑定的字段则表示分组。</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3695700" cy="1685925"/>
            <wp:effectExtent l="0" t="0" r="0" b="0"/>
            <wp:docPr id="237" name="图片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58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95700" cy="1685925"/>
                    </a:xfrm>
                    <a:prstGeom prst="rect">
                      <a:avLst/>
                    </a:prstGeom>
                    <a:noFill/>
                    <a:ln>
                      <a:noFill/>
                    </a:ln>
                  </pic:spPr>
                </pic:pic>
              </a:graphicData>
            </a:graphic>
          </wp:inline>
        </w:drawing>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仪表盘设计</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仪表盘组件表示汇总状态显示，一般在领导桌面，驾驶舱等dashboard中经常用到，在系统中，支持30多种仪表盘，用户可根据实际需要，选择适合自己的仪表盘。</w:t>
      </w:r>
    </w:p>
    <w:p>
      <w:pPr>
        <w:spacing w:before="163" w:after="163" w:line="360" w:lineRule="auto"/>
        <w:ind w:firstLine="560" w:firstLineChars="20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1181100" cy="1085850"/>
            <wp:effectExtent l="0" t="0" r="0" b="0"/>
            <wp:docPr id="238" name="图片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58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81100" cy="1085850"/>
                    </a:xfrm>
                    <a:prstGeom prst="rect">
                      <a:avLst/>
                    </a:prstGeom>
                    <a:noFill/>
                    <a:ln>
                      <a:noFill/>
                    </a:ln>
                  </pic:spPr>
                </pic:pic>
              </a:graphicData>
            </a:graphic>
          </wp:inline>
        </w:drawing>
      </w:r>
      <w:r>
        <w:rPr>
          <w:rFonts w:hint="eastAsia" w:ascii="方正仿宋_GBK" w:hAnsi="方正仿宋_GBK" w:eastAsia="方正仿宋_GBK" w:cs="方正仿宋_GBK"/>
          <w:b w:val="0"/>
          <w:bCs w:val="0"/>
          <w:sz w:val="28"/>
          <w:szCs w:val="28"/>
        </w:rPr>
        <w:t xml:space="preserve"> </w:t>
      </w:r>
      <w:r>
        <w:rPr>
          <w:rFonts w:hint="eastAsia" w:ascii="方正仿宋_GBK" w:hAnsi="方正仿宋_GBK" w:eastAsia="方正仿宋_GBK" w:cs="方正仿宋_GBK"/>
          <w:b w:val="0"/>
          <w:bCs w:val="0"/>
          <w:sz w:val="28"/>
          <w:szCs w:val="28"/>
        </w:rPr>
        <w:drawing>
          <wp:inline distT="0" distB="0" distL="0" distR="0">
            <wp:extent cx="1192530" cy="1073150"/>
            <wp:effectExtent l="0" t="0" r="0" b="0"/>
            <wp:docPr id="239" name="图片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58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92530" cy="1073150"/>
                    </a:xfrm>
                    <a:prstGeom prst="rect">
                      <a:avLst/>
                    </a:prstGeom>
                    <a:noFill/>
                    <a:ln>
                      <a:noFill/>
                    </a:ln>
                  </pic:spPr>
                </pic:pic>
              </a:graphicData>
            </a:graphic>
          </wp:inline>
        </w:drawing>
      </w:r>
      <w:r>
        <w:rPr>
          <w:rFonts w:hint="eastAsia" w:ascii="方正仿宋_GBK" w:hAnsi="方正仿宋_GBK" w:eastAsia="方正仿宋_GBK" w:cs="方正仿宋_GBK"/>
          <w:b w:val="0"/>
          <w:bCs w:val="0"/>
          <w:sz w:val="28"/>
          <w:szCs w:val="28"/>
        </w:rPr>
        <w:t xml:space="preserve"> </w:t>
      </w:r>
      <w:r>
        <w:rPr>
          <w:rFonts w:hint="eastAsia" w:ascii="方正仿宋_GBK" w:hAnsi="方正仿宋_GBK" w:eastAsia="方正仿宋_GBK" w:cs="方正仿宋_GBK"/>
          <w:b w:val="0"/>
          <w:bCs w:val="0"/>
          <w:sz w:val="28"/>
          <w:szCs w:val="28"/>
        </w:rPr>
        <w:drawing>
          <wp:inline distT="0" distB="0" distL="0" distR="0">
            <wp:extent cx="1228725" cy="1069975"/>
            <wp:effectExtent l="0" t="0" r="0" b="0"/>
            <wp:docPr id="240" name="图片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58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28725" cy="1069975"/>
                    </a:xfrm>
                    <a:prstGeom prst="rect">
                      <a:avLst/>
                    </a:prstGeom>
                    <a:noFill/>
                    <a:ln>
                      <a:noFill/>
                    </a:ln>
                  </pic:spPr>
                </pic:pic>
              </a:graphicData>
            </a:graphic>
          </wp:inline>
        </w:drawing>
      </w:r>
      <w:r>
        <w:rPr>
          <w:rFonts w:hint="eastAsia" w:ascii="方正仿宋_GBK" w:hAnsi="方正仿宋_GBK" w:eastAsia="方正仿宋_GBK" w:cs="方正仿宋_GBK"/>
          <w:b w:val="0"/>
          <w:bCs w:val="0"/>
          <w:sz w:val="28"/>
          <w:szCs w:val="28"/>
        </w:rPr>
        <w:t xml:space="preserve"> </w:t>
      </w:r>
    </w:p>
    <w:p>
      <w:pPr>
        <w:widowControl w:val="0"/>
        <w:numPr>
          <w:ilvl w:val="0"/>
          <w:numId w:val="5"/>
        </w:numPr>
        <w:spacing w:line="360" w:lineRule="auto"/>
        <w:ind w:left="900" w:hanging="420" w:firstLineChars="0"/>
        <w:jc w:val="both"/>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飞行图</w:t>
      </w:r>
    </w:p>
    <w:p>
      <w:pPr>
        <w:spacing w:before="163" w:after="163"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以航线展示数据的流动，可利用线条粗细直观展示数据规模，可明确监测数据流向、数据起点、数据终点。</w:t>
      </w:r>
    </w:p>
    <w:p>
      <w:pPr>
        <w:spacing w:before="163" w:after="163" w:line="360" w:lineRule="auto"/>
        <w:ind w:firstLine="0" w:firstLineChars="0"/>
        <w:jc w:val="center"/>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drawing>
          <wp:inline distT="0" distB="0" distL="0" distR="0">
            <wp:extent cx="3908425" cy="2267585"/>
            <wp:effectExtent l="0" t="0" r="0" b="0"/>
            <wp:docPr id="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08425" cy="2267585"/>
                    </a:xfrm>
                    <a:prstGeom prst="rect">
                      <a:avLst/>
                    </a:prstGeom>
                    <a:noFill/>
                    <a:ln>
                      <a:noFill/>
                    </a:ln>
                  </pic:spPr>
                </pic:pic>
              </a:graphicData>
            </a:graphic>
          </wp:inline>
        </w:drawing>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可视化地图组件</w:t>
      </w:r>
    </w:p>
    <w:p>
      <w:pPr>
        <w:spacing w:line="360" w:lineRule="auto"/>
        <w:ind w:firstLine="560" w:firstLineChars="200"/>
        <w:rPr>
          <w:rFonts w:hint="eastAsia" w:ascii="方正仿宋_GBK" w:hAnsi="方正仿宋_GBK" w:eastAsia="方正仿宋_GBK" w:cs="方正仿宋_GBK"/>
          <w:b w:val="0"/>
          <w:bCs w:val="0"/>
          <w:kern w:val="0"/>
          <w:sz w:val="28"/>
          <w:szCs w:val="28"/>
        </w:rPr>
      </w:pPr>
      <w:r>
        <w:rPr>
          <w:rFonts w:hint="eastAsia" w:ascii="方正仿宋_GBK" w:hAnsi="方正仿宋_GBK" w:eastAsia="方正仿宋_GBK" w:cs="方正仿宋_GBK"/>
          <w:b w:val="0"/>
          <w:bCs w:val="0"/>
          <w:kern w:val="0"/>
          <w:sz w:val="28"/>
          <w:szCs w:val="28"/>
        </w:rPr>
        <w:t>根据不同场景使用不同地图组件，包括地图类型（GIS地图、SVG地图、迁移地图、分布地图、热力地图、标注地图等）、特效、样式，帮助用户快速评估数据的分布情况，同时又能低成本发现问题，在用户体验和大数据呈现上尽可能达到最佳平衡。</w:t>
      </w:r>
    </w:p>
    <w:p>
      <w:pPr>
        <w:widowControl w:val="0"/>
        <w:spacing w:line="360" w:lineRule="auto"/>
        <w:ind w:firstLine="560" w:firstLineChars="200"/>
        <w:jc w:val="center"/>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drawing>
          <wp:inline distT="0" distB="0" distL="0" distR="0">
            <wp:extent cx="2432050" cy="1623060"/>
            <wp:effectExtent l="0" t="0" r="0" b="0"/>
            <wp:docPr id="242" name="图片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58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32050" cy="1623060"/>
                    </a:xfrm>
                    <a:prstGeom prst="rect">
                      <a:avLst/>
                    </a:prstGeom>
                    <a:noFill/>
                    <a:ln>
                      <a:noFill/>
                    </a:ln>
                  </pic:spPr>
                </pic:pic>
              </a:graphicData>
            </a:graphic>
          </wp:inline>
        </w:drawing>
      </w:r>
      <w:r>
        <w:rPr>
          <w:rFonts w:hint="eastAsia" w:ascii="方正仿宋_GBK" w:hAnsi="方正仿宋_GBK" w:eastAsia="方正仿宋_GBK" w:cs="方正仿宋_GBK"/>
          <w:b w:val="0"/>
          <w:bCs w:val="0"/>
          <w:kern w:val="2"/>
          <w:sz w:val="28"/>
          <w:szCs w:val="28"/>
          <w:lang w:val="en-US" w:eastAsia="zh-CN" w:bidi="ar-SA"/>
        </w:rPr>
        <w:drawing>
          <wp:inline distT="0" distB="0" distL="0" distR="0">
            <wp:extent cx="2174875" cy="1634490"/>
            <wp:effectExtent l="0" t="0" r="0" b="0"/>
            <wp:docPr id="243" name="图片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58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74875" cy="1634490"/>
                    </a:xfrm>
                    <a:prstGeom prst="rect">
                      <a:avLst/>
                    </a:prstGeom>
                    <a:noFill/>
                    <a:ln>
                      <a:noFill/>
                    </a:ln>
                  </pic:spPr>
                </pic:pic>
              </a:graphicData>
            </a:graphic>
          </wp:inline>
        </w:drawing>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可视化交互组件</w:t>
      </w:r>
    </w:p>
    <w:p>
      <w:pPr>
        <w:spacing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kern w:val="0"/>
          <w:sz w:val="28"/>
          <w:szCs w:val="28"/>
        </w:rPr>
        <w:t>根据不同页面需求</w:t>
      </w:r>
      <w:r>
        <w:rPr>
          <w:rFonts w:hint="eastAsia" w:ascii="方正仿宋_GBK" w:hAnsi="方正仿宋_GBK" w:eastAsia="方正仿宋_GBK" w:cs="方正仿宋_GBK"/>
          <w:b w:val="0"/>
          <w:bCs w:val="0"/>
          <w:sz w:val="28"/>
          <w:szCs w:val="28"/>
        </w:rPr>
        <w:t>，提供复选框、跑马灯、单选组、按钮、下拉列表、超链接、层级树、查询窗口、时间控件、时间轴等交互组件，完成各主题页面构建及交互实现。</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可视化功能组件</w:t>
      </w:r>
    </w:p>
    <w:p>
      <w:pPr>
        <w:spacing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系统提供tab页签、图片展示、日历组件、图片轮播、数字显示、视频展示、视频轮播等可视化功能组件，支撑各主题页面展示。</w:t>
      </w:r>
    </w:p>
    <w:p>
      <w:pPr>
        <w:widowControl/>
        <w:spacing w:line="240" w:lineRule="auto"/>
        <w:ind w:firstLine="0" w:firstLineChars="0"/>
        <w:jc w:val="left"/>
        <w:rPr>
          <w:rFonts w:hint="eastAsia" w:ascii="方正仿宋_GBK" w:hAnsi="方正仿宋_GBK" w:eastAsia="方正仿宋_GBK" w:cs="方正仿宋_GBK"/>
          <w:b w:val="0"/>
          <w:bCs w:val="0"/>
          <w:sz w:val="28"/>
          <w:szCs w:val="28"/>
        </w:rPr>
      </w:pPr>
    </w:p>
    <w:p>
      <w:pPr>
        <w:keepNext/>
        <w:widowControl w:val="0"/>
        <w:numPr>
          <w:ilvl w:val="1"/>
          <w:numId w:val="4"/>
        </w:numPr>
        <w:tabs>
          <w:tab w:val="left" w:pos="575"/>
        </w:tabs>
        <w:snapToGrid w:val="0"/>
        <w:spacing w:before="163" w:beforeLines="50" w:after="163" w:afterLines="50" w:line="360" w:lineRule="auto"/>
        <w:ind w:left="0" w:leftChars="0" w:firstLine="0" w:firstLineChars="0"/>
        <w:jc w:val="both"/>
        <w:outlineLvl w:val="1"/>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可视化综合分析</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 xml:space="preserve">抽查事项分析 </w:t>
      </w:r>
    </w:p>
    <w:p>
      <w:pPr>
        <w:spacing w:line="360" w:lineRule="auto"/>
        <w:ind w:firstLine="560" w:firstLineChars="200"/>
        <w:rPr>
          <w:rFonts w:hint="eastAsia" w:ascii="方正仿宋_GBK" w:hAnsi="方正仿宋_GBK" w:eastAsia="方正仿宋_GBK" w:cs="方正仿宋_GBK"/>
          <w:b w:val="0"/>
          <w:bCs w:val="0"/>
          <w:kern w:val="0"/>
          <w:sz w:val="28"/>
          <w:szCs w:val="28"/>
        </w:rPr>
      </w:pPr>
      <w:r>
        <w:rPr>
          <w:rFonts w:hint="eastAsia" w:ascii="方正仿宋_GBK" w:hAnsi="方正仿宋_GBK" w:eastAsia="方正仿宋_GBK" w:cs="方正仿宋_GBK"/>
          <w:b w:val="0"/>
          <w:bCs w:val="0"/>
          <w:kern w:val="0"/>
          <w:sz w:val="28"/>
          <w:szCs w:val="28"/>
        </w:rPr>
        <w:t>对抽查事项进行统计分析，包括抽查事项覆盖行业、抽查结果、检查实施机关、抽查事项类型等，通过本模块，可整体分析抽查事项情况，例如抽查事项共多少条，某一段时期新增事项多少条、分别是哪些区新增等。</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双随机统计分析</w:t>
      </w:r>
    </w:p>
    <w:p>
      <w:pPr>
        <w:spacing w:line="360" w:lineRule="auto"/>
        <w:ind w:firstLine="560" w:firstLineChars="200"/>
        <w:rPr>
          <w:rFonts w:hint="eastAsia" w:ascii="方正仿宋_GBK" w:hAnsi="方正仿宋_GBK" w:eastAsia="方正仿宋_GBK" w:cs="方正仿宋_GBK"/>
          <w:b w:val="0"/>
          <w:bCs w:val="0"/>
          <w:kern w:val="0"/>
          <w:sz w:val="28"/>
          <w:szCs w:val="28"/>
        </w:rPr>
      </w:pPr>
      <w:r>
        <w:rPr>
          <w:rFonts w:hint="eastAsia" w:ascii="方正仿宋_GBK" w:hAnsi="方正仿宋_GBK" w:eastAsia="方正仿宋_GBK" w:cs="方正仿宋_GBK"/>
          <w:b w:val="0"/>
          <w:bCs w:val="0"/>
          <w:kern w:val="0"/>
          <w:sz w:val="28"/>
          <w:szCs w:val="28"/>
        </w:rPr>
        <w:t>对目前双随机的任务量的统计分析。展现近年的抽查任务情况，统计任务申请量、完成情况、完成效率等。双随机分析主要对监管对象信息、专项计划数据进行综合性分析及展示。</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 xml:space="preserve">监管指标分析 </w:t>
      </w:r>
    </w:p>
    <w:p>
      <w:pPr>
        <w:spacing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kern w:val="0"/>
          <w:sz w:val="28"/>
          <w:szCs w:val="28"/>
        </w:rPr>
        <w:t>支持按各监管指标统计分析双随机监管的预测预警情况，并提供多种监管指标统计分析数据展现形式</w:t>
      </w:r>
      <w:r>
        <w:rPr>
          <w:rFonts w:hint="eastAsia" w:ascii="方正仿宋_GBK" w:hAnsi="方正仿宋_GBK" w:eastAsia="方正仿宋_GBK" w:cs="方正仿宋_GBK"/>
          <w:b w:val="0"/>
          <w:bCs w:val="0"/>
          <w:sz w:val="28"/>
          <w:szCs w:val="28"/>
        </w:rPr>
        <w:t>，分析展示内容包括国家级监管任务的达成情况。包括任务目标数、完成数、完成进度。</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bookmarkStart w:id="43" w:name="_Toc28707584"/>
      <w:bookmarkStart w:id="44" w:name="_Toc30052241"/>
      <w:r>
        <w:rPr>
          <w:rFonts w:hint="eastAsia" w:ascii="方正仿宋_GBK" w:hAnsi="方正仿宋_GBK" w:eastAsia="方正仿宋_GBK" w:cs="方正仿宋_GBK"/>
          <w:b w:val="0"/>
          <w:bCs w:val="0"/>
          <w:kern w:val="2"/>
          <w:sz w:val="28"/>
          <w:szCs w:val="28"/>
          <w:lang w:val="en-US" w:eastAsia="zh-CN" w:bidi="ar-SA"/>
        </w:rPr>
        <w:t>监管主体</w:t>
      </w:r>
      <w:bookmarkEnd w:id="43"/>
      <w:bookmarkEnd w:id="44"/>
      <w:r>
        <w:rPr>
          <w:rFonts w:hint="eastAsia" w:ascii="方正仿宋_GBK" w:hAnsi="方正仿宋_GBK" w:eastAsia="方正仿宋_GBK" w:cs="方正仿宋_GBK"/>
          <w:b w:val="0"/>
          <w:bCs w:val="0"/>
          <w:kern w:val="2"/>
          <w:sz w:val="28"/>
          <w:szCs w:val="28"/>
          <w:lang w:val="en-US" w:eastAsia="zh-CN" w:bidi="ar-SA"/>
        </w:rPr>
        <w:t>分析</w:t>
      </w:r>
    </w:p>
    <w:p>
      <w:pPr>
        <w:spacing w:line="360" w:lineRule="auto"/>
        <w:ind w:firstLine="560" w:firstLineChars="200"/>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kern w:val="0"/>
          <w:sz w:val="28"/>
          <w:szCs w:val="28"/>
        </w:rPr>
        <w:t>对各部门各地方的部门监管主体、监管主体的行业标签信息、地方监管主体进行数据内容提取，并以可视化的方式进行</w:t>
      </w:r>
      <w:r>
        <w:rPr>
          <w:rFonts w:hint="eastAsia" w:ascii="方正仿宋_GBK" w:hAnsi="方正仿宋_GBK" w:eastAsia="方正仿宋_GBK" w:cs="方正仿宋_GBK"/>
          <w:b w:val="0"/>
          <w:bCs w:val="0"/>
          <w:sz w:val="28"/>
          <w:szCs w:val="28"/>
        </w:rPr>
        <w:t>分析展示。</w:t>
      </w:r>
    </w:p>
    <w:p>
      <w:pPr>
        <w:keepNext/>
        <w:widowControl w:val="0"/>
        <w:numPr>
          <w:ilvl w:val="2"/>
          <w:numId w:val="4"/>
        </w:numPr>
        <w:tabs>
          <w:tab w:val="left" w:pos="575"/>
          <w:tab w:val="left" w:pos="1282"/>
        </w:tabs>
        <w:snapToGrid w:val="0"/>
        <w:spacing w:before="163" w:beforeLines="50" w:after="163" w:afterLines="50" w:line="360" w:lineRule="auto"/>
        <w:ind w:left="0" w:leftChars="0" w:firstLine="0" w:firstLineChars="0"/>
        <w:jc w:val="both"/>
        <w:outlineLvl w:val="2"/>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投诉举报分析</w:t>
      </w:r>
    </w:p>
    <w:p>
      <w:pPr>
        <w:spacing w:line="360" w:lineRule="auto"/>
        <w:ind w:firstLine="0" w:firstLineChars="0"/>
        <w:rPr>
          <w:rFonts w:hint="eastAsia" w:ascii="方正仿宋_GBK" w:hAnsi="方正仿宋_GBK" w:eastAsia="方正仿宋_GBK" w:cs="方正仿宋_GBK"/>
          <w:b w:val="0"/>
          <w:bCs w:val="0"/>
          <w:kern w:val="0"/>
          <w:sz w:val="28"/>
          <w:szCs w:val="28"/>
        </w:rPr>
      </w:pPr>
      <w:r>
        <w:rPr>
          <w:rFonts w:hint="eastAsia" w:ascii="方正仿宋_GBK" w:hAnsi="方正仿宋_GBK" w:eastAsia="方正仿宋_GBK" w:cs="方正仿宋_GBK"/>
          <w:b w:val="0"/>
          <w:bCs w:val="0"/>
          <w:kern w:val="0"/>
          <w:sz w:val="28"/>
          <w:szCs w:val="28"/>
        </w:rPr>
        <w:t>对投诉举报对象为监管对象基础信息数据进行统计分析，主要分析对象包含：举报属地、投诉对象、举报对象、举报属地等，进行综合性分析及展示</w:t>
      </w:r>
    </w:p>
    <w:p>
      <w:pPr>
        <w:spacing w:line="360" w:lineRule="auto"/>
        <w:ind w:firstLine="0" w:firstLineChars="0"/>
        <w:rPr>
          <w:rFonts w:hint="eastAsia" w:ascii="方正仿宋_GBK" w:hAnsi="方正仿宋_GBK" w:eastAsia="方正仿宋_GBK" w:cs="方正仿宋_GBK"/>
          <w:b w:val="0"/>
          <w:bCs w:val="0"/>
          <w:kern w:val="0"/>
          <w:sz w:val="28"/>
          <w:szCs w:val="28"/>
        </w:rPr>
      </w:pPr>
    </w:p>
    <w:p>
      <w:pPr>
        <w:numPr>
          <w:ilvl w:val="0"/>
          <w:numId w:val="6"/>
        </w:numPr>
        <w:tabs>
          <w:tab w:val="left" w:pos="5325"/>
        </w:tabs>
        <w:snapToGrid w:val="0"/>
        <w:spacing w:line="300" w:lineRule="auto"/>
        <w:contextualSpacing/>
        <w:rPr>
          <w:rFonts w:hint="default" w:ascii="黑体" w:hAnsi="黑体" w:eastAsia="黑体" w:cs="Times New Roman"/>
          <w:sz w:val="32"/>
          <w:szCs w:val="32"/>
          <w:lang w:val="en-US" w:eastAsia="zh-CN"/>
        </w:rPr>
      </w:pPr>
      <w:r>
        <w:rPr>
          <w:rFonts w:hint="eastAsia" w:ascii="Times New Roman" w:hAnsi="Times New Roman" w:eastAsia="黑体" w:cs="Times New Roman"/>
          <w:sz w:val="32"/>
          <w:szCs w:val="32"/>
          <w:lang w:eastAsia="zh-CN"/>
        </w:rPr>
        <w:t>项目建设周期</w:t>
      </w:r>
    </w:p>
    <w:p>
      <w:pPr>
        <w:autoSpaceDE w:val="0"/>
        <w:autoSpaceDN w:val="0"/>
        <w:adjustRightInd w:val="0"/>
        <w:snapToGrid w:val="0"/>
        <w:spacing w:before="100" w:after="100" w:line="360" w:lineRule="auto"/>
        <w:ind w:right="-197" w:rightChars="-94" w:firstLine="641"/>
        <w:contextualSpacing/>
        <w:jc w:val="left"/>
        <w:rPr>
          <w:rFonts w:hint="eastAsia" w:ascii="方正仿宋_GBK" w:hAnsi="方正仿宋_GBK" w:eastAsia="方正仿宋_GBK" w:cs="方正仿宋_GBK"/>
          <w:kern w:val="0"/>
          <w:sz w:val="28"/>
          <w:szCs w:val="28"/>
          <w:lang w:val="en-US" w:eastAsia="zh-CN"/>
        </w:rPr>
      </w:pPr>
      <w:r>
        <w:rPr>
          <w:rFonts w:hint="eastAsia" w:ascii="方正仿宋_GBK" w:hAnsi="方正仿宋_GBK" w:eastAsia="方正仿宋_GBK" w:cs="方正仿宋_GBK"/>
          <w:kern w:val="0"/>
          <w:sz w:val="28"/>
          <w:szCs w:val="28"/>
          <w:lang w:val="zh-CN"/>
        </w:rPr>
        <w:t>合同签订后</w:t>
      </w:r>
      <w:r>
        <w:rPr>
          <w:rFonts w:hint="eastAsia" w:ascii="方正仿宋_GBK" w:hAnsi="方正仿宋_GBK" w:eastAsia="方正仿宋_GBK" w:cs="方正仿宋_GBK"/>
          <w:kern w:val="0"/>
          <w:sz w:val="28"/>
          <w:szCs w:val="28"/>
          <w:lang w:val="en-US" w:eastAsia="zh-CN"/>
        </w:rPr>
        <w:t>4</w:t>
      </w:r>
      <w:r>
        <w:rPr>
          <w:rFonts w:hint="eastAsia" w:ascii="方正仿宋_GBK" w:hAnsi="方正仿宋_GBK" w:eastAsia="方正仿宋_GBK" w:cs="方正仿宋_GBK"/>
          <w:kern w:val="0"/>
          <w:sz w:val="28"/>
          <w:szCs w:val="28"/>
          <w:lang w:val="zh-CN"/>
        </w:rPr>
        <w:t>个月内完成系统开发、上线运行。</w:t>
      </w:r>
    </w:p>
    <w:p>
      <w:pPr>
        <w:numPr>
          <w:ilvl w:val="0"/>
          <w:numId w:val="6"/>
        </w:numPr>
        <w:tabs>
          <w:tab w:val="left" w:pos="5325"/>
        </w:tabs>
        <w:snapToGrid w:val="0"/>
        <w:spacing w:line="300" w:lineRule="auto"/>
        <w:contextualSpacing/>
        <w:rPr>
          <w:rFonts w:hint="default" w:ascii="黑体" w:hAnsi="黑体" w:eastAsia="黑体" w:cs="Times New Roman"/>
          <w:sz w:val="32"/>
          <w:szCs w:val="32"/>
          <w:lang w:val="en-US" w:eastAsia="zh-CN"/>
        </w:rPr>
      </w:pPr>
      <w:r>
        <w:rPr>
          <w:rFonts w:ascii="黑体" w:hAnsi="黑体" w:eastAsia="黑体" w:cs="Times New Roman"/>
          <w:sz w:val="32"/>
          <w:szCs w:val="32"/>
        </w:rPr>
        <w:t>付款</w:t>
      </w:r>
      <w:r>
        <w:rPr>
          <w:rFonts w:hint="eastAsia" w:ascii="黑体" w:hAnsi="黑体" w:eastAsia="黑体" w:cs="Times New Roman"/>
          <w:sz w:val="32"/>
          <w:szCs w:val="32"/>
        </w:rPr>
        <w:t>方式</w:t>
      </w:r>
    </w:p>
    <w:p>
      <w:pPr>
        <w:autoSpaceDE w:val="0"/>
        <w:autoSpaceDN w:val="0"/>
        <w:adjustRightInd w:val="0"/>
        <w:snapToGrid w:val="0"/>
        <w:spacing w:before="100" w:after="100" w:line="360" w:lineRule="auto"/>
        <w:ind w:right="-197" w:rightChars="-94" w:firstLine="641"/>
        <w:contextualSpacing/>
        <w:jc w:val="left"/>
        <w:rPr>
          <w:rFonts w:hint="default" w:ascii="方正仿宋_GBK" w:hAnsi="方正仿宋_GBK" w:eastAsia="方正仿宋_GBK" w:cs="方正仿宋_GBK"/>
          <w:kern w:val="0"/>
          <w:sz w:val="28"/>
          <w:szCs w:val="28"/>
          <w:lang w:val="en-US" w:eastAsia="zh-CN"/>
        </w:rPr>
      </w:pPr>
      <w:r>
        <w:rPr>
          <w:rFonts w:hint="eastAsia" w:ascii="方正仿宋_GBK" w:hAnsi="方正仿宋_GBK" w:eastAsia="方正仿宋_GBK" w:cs="方正仿宋_GBK"/>
          <w:kern w:val="0"/>
          <w:sz w:val="28"/>
          <w:szCs w:val="28"/>
          <w:lang w:val="zh-CN"/>
        </w:rPr>
        <w:t>按照成交价签订合同，合同签订发票送达后15个工作日内支付合同价款的50%，验收合格发票送达后后15个工作日内支付合同价款的40%，余款10%作为质保金，按照《信息化项目质保经费支付管理规定》（通行审发﹝2018﹞40号）文件支付。</w:t>
      </w:r>
    </w:p>
    <w:p>
      <w:pPr>
        <w:numPr>
          <w:ilvl w:val="0"/>
          <w:numId w:val="6"/>
        </w:numPr>
        <w:tabs>
          <w:tab w:val="left" w:pos="5325"/>
        </w:tabs>
        <w:snapToGrid w:val="0"/>
        <w:spacing w:line="300" w:lineRule="auto"/>
        <w:contextualSpacing/>
        <w:rPr>
          <w:rFonts w:hint="default" w:ascii="黑体" w:hAnsi="黑体" w:eastAsia="黑体" w:cs="Times New Roman"/>
          <w:sz w:val="32"/>
          <w:szCs w:val="32"/>
          <w:lang w:val="en-US" w:eastAsia="zh-CN"/>
        </w:rPr>
      </w:pPr>
      <w:r>
        <w:rPr>
          <w:rFonts w:ascii="黑体" w:hAnsi="黑体" w:eastAsia="黑体" w:cs="Times New Roman"/>
          <w:sz w:val="32"/>
          <w:szCs w:val="32"/>
        </w:rPr>
        <w:t>投标供应商资格要求</w:t>
      </w:r>
    </w:p>
    <w:p>
      <w:pPr>
        <w:autoSpaceDE w:val="0"/>
        <w:autoSpaceDN w:val="0"/>
        <w:adjustRightInd w:val="0"/>
        <w:snapToGrid w:val="0"/>
        <w:spacing w:before="100" w:after="100" w:line="360" w:lineRule="auto"/>
        <w:ind w:right="-197" w:rightChars="-94" w:firstLine="641"/>
        <w:contextualSpacing/>
        <w:jc w:val="left"/>
        <w:rPr>
          <w:rFonts w:hint="eastAsia" w:ascii="方正仿宋_GBK" w:hAnsi="方正仿宋_GBK" w:eastAsia="方正仿宋_GBK" w:cs="方正仿宋_GBK"/>
          <w:kern w:val="0"/>
          <w:sz w:val="28"/>
          <w:szCs w:val="28"/>
          <w:lang w:val="zh-CN"/>
        </w:rPr>
      </w:pPr>
      <w:r>
        <w:rPr>
          <w:rFonts w:hint="eastAsia" w:ascii="方正仿宋_GBK" w:hAnsi="方正仿宋_GBK" w:eastAsia="方正仿宋_GBK" w:cs="方正仿宋_GBK"/>
          <w:kern w:val="0"/>
          <w:sz w:val="28"/>
          <w:szCs w:val="28"/>
          <w:lang w:val="zh-CN"/>
        </w:rPr>
        <w:t>1.符合《中华人民共和国政府采购法》第22条规定；</w:t>
      </w:r>
    </w:p>
    <w:p>
      <w:pPr>
        <w:autoSpaceDE w:val="0"/>
        <w:autoSpaceDN w:val="0"/>
        <w:adjustRightInd w:val="0"/>
        <w:snapToGrid w:val="0"/>
        <w:spacing w:before="100" w:after="100" w:line="360" w:lineRule="auto"/>
        <w:ind w:right="-197" w:rightChars="-94" w:firstLine="641"/>
        <w:contextualSpacing/>
        <w:jc w:val="left"/>
        <w:rPr>
          <w:rFonts w:hint="default" w:ascii="方正仿宋_GBK" w:hAnsi="方正仿宋_GBK" w:eastAsia="方正仿宋_GBK" w:cs="方正仿宋_GBK"/>
          <w:kern w:val="0"/>
          <w:sz w:val="28"/>
          <w:szCs w:val="28"/>
          <w:lang w:val="en-US" w:eastAsia="zh-CN"/>
        </w:rPr>
      </w:pPr>
      <w:r>
        <w:rPr>
          <w:rFonts w:hint="eastAsia" w:ascii="方正仿宋_GBK" w:hAnsi="方正仿宋_GBK" w:eastAsia="方正仿宋_GBK" w:cs="方正仿宋_GBK"/>
          <w:kern w:val="0"/>
          <w:sz w:val="28"/>
          <w:szCs w:val="28"/>
          <w:lang w:val="zh-CN"/>
        </w:rPr>
        <w:t>2.具有合法经营资格并能够承担完全民事责任的独立法人；</w:t>
      </w:r>
    </w:p>
    <w:p>
      <w:pPr>
        <w:numPr>
          <w:ilvl w:val="0"/>
          <w:numId w:val="6"/>
        </w:numPr>
        <w:tabs>
          <w:tab w:val="left" w:pos="5325"/>
        </w:tabs>
        <w:snapToGrid w:val="0"/>
        <w:spacing w:line="300" w:lineRule="auto"/>
        <w:contextualSpacing/>
        <w:rPr>
          <w:rFonts w:ascii="黑体" w:hAnsi="黑体" w:eastAsia="黑体" w:cs="Times New Roman"/>
          <w:sz w:val="32"/>
          <w:szCs w:val="32"/>
        </w:rPr>
      </w:pPr>
      <w:r>
        <w:rPr>
          <w:rFonts w:hint="eastAsia" w:ascii="黑体" w:hAnsi="黑体" w:eastAsia="黑体" w:cs="Times New Roman"/>
          <w:sz w:val="32"/>
          <w:szCs w:val="32"/>
        </w:rPr>
        <w:t>投标响应文件的组成</w:t>
      </w:r>
    </w:p>
    <w:p>
      <w:pPr>
        <w:autoSpaceDE w:val="0"/>
        <w:autoSpaceDN w:val="0"/>
        <w:adjustRightInd w:val="0"/>
        <w:snapToGrid w:val="0"/>
        <w:spacing w:before="100" w:after="100" w:line="360" w:lineRule="auto"/>
        <w:ind w:right="-197" w:rightChars="-94" w:firstLine="641"/>
        <w:contextualSpacing/>
        <w:jc w:val="left"/>
        <w:rPr>
          <w:rFonts w:hint="eastAsia" w:ascii="方正仿宋_GBK" w:hAnsi="方正仿宋_GBK" w:eastAsia="方正仿宋_GBK" w:cs="方正仿宋_GBK"/>
          <w:kern w:val="0"/>
          <w:sz w:val="28"/>
          <w:szCs w:val="28"/>
          <w:lang w:val="zh-CN"/>
        </w:rPr>
      </w:pPr>
      <w:r>
        <w:rPr>
          <w:rFonts w:hint="eastAsia" w:ascii="方正仿宋_GBK" w:hAnsi="方正仿宋_GBK" w:eastAsia="方正仿宋_GBK" w:cs="方正仿宋_GBK"/>
          <w:kern w:val="0"/>
          <w:sz w:val="28"/>
          <w:szCs w:val="28"/>
          <w:lang w:val="zh-CN"/>
        </w:rPr>
        <w:t>1.法定代表人参加投标的，提供法定代表人身份证复印件（加盖公章）；授权委托人参加投标的，提供法定代表人授权委托书、法定代表人和授权委托人身份证复印件（加盖公章）；</w:t>
      </w:r>
    </w:p>
    <w:p>
      <w:pPr>
        <w:autoSpaceDE w:val="0"/>
        <w:autoSpaceDN w:val="0"/>
        <w:adjustRightInd w:val="0"/>
        <w:snapToGrid w:val="0"/>
        <w:spacing w:before="100" w:after="100" w:line="360" w:lineRule="auto"/>
        <w:ind w:right="-197" w:rightChars="-94" w:firstLine="641"/>
        <w:contextualSpacing/>
        <w:jc w:val="left"/>
        <w:rPr>
          <w:rFonts w:hint="eastAsia" w:ascii="方正仿宋_GBK" w:hAnsi="方正仿宋_GBK" w:eastAsia="方正仿宋_GBK" w:cs="方正仿宋_GBK"/>
          <w:kern w:val="0"/>
          <w:sz w:val="28"/>
          <w:szCs w:val="28"/>
          <w:lang w:val="zh-CN"/>
        </w:rPr>
      </w:pPr>
      <w:r>
        <w:rPr>
          <w:rFonts w:hint="eastAsia" w:ascii="方正仿宋_GBK" w:hAnsi="方正仿宋_GBK" w:eastAsia="方正仿宋_GBK" w:cs="方正仿宋_GBK"/>
          <w:kern w:val="0"/>
          <w:sz w:val="28"/>
          <w:szCs w:val="28"/>
          <w:lang w:val="zh-CN"/>
        </w:rPr>
        <w:t>2.营业执照复印件（加盖公章）；</w:t>
      </w:r>
    </w:p>
    <w:p>
      <w:pPr>
        <w:autoSpaceDE w:val="0"/>
        <w:autoSpaceDN w:val="0"/>
        <w:adjustRightInd w:val="0"/>
        <w:snapToGrid w:val="0"/>
        <w:spacing w:before="100" w:after="100" w:line="360" w:lineRule="auto"/>
        <w:ind w:right="-197" w:rightChars="-94" w:firstLine="641"/>
        <w:contextualSpacing/>
        <w:jc w:val="left"/>
        <w:rPr>
          <w:rFonts w:hint="default" w:ascii="方正仿宋_GBK" w:hAnsi="方正仿宋_GBK" w:eastAsia="方正仿宋_GBK" w:cs="方正仿宋_GBK"/>
          <w:kern w:val="0"/>
          <w:sz w:val="28"/>
          <w:szCs w:val="28"/>
          <w:lang w:val="en-US" w:eastAsia="zh-CN"/>
        </w:rPr>
      </w:pPr>
      <w:r>
        <w:rPr>
          <w:rFonts w:hint="eastAsia" w:ascii="方正仿宋_GBK" w:hAnsi="方正仿宋_GBK" w:eastAsia="方正仿宋_GBK" w:cs="方正仿宋_GBK"/>
          <w:kern w:val="0"/>
          <w:sz w:val="28"/>
          <w:szCs w:val="28"/>
          <w:lang w:val="en-US" w:eastAsia="zh-CN"/>
        </w:rPr>
        <w:t>3.</w:t>
      </w:r>
      <w:r>
        <w:rPr>
          <w:rFonts w:hint="eastAsia" w:ascii="方正仿宋_GBK" w:hAnsi="方正仿宋_GBK" w:eastAsia="方正仿宋_GBK" w:cs="方正仿宋_GBK"/>
          <w:kern w:val="0"/>
          <w:sz w:val="28"/>
          <w:szCs w:val="28"/>
          <w:lang w:val="zh-CN"/>
        </w:rPr>
        <w:t>报价清单(加盖公章)；</w:t>
      </w:r>
    </w:p>
    <w:p>
      <w:pPr>
        <w:autoSpaceDE w:val="0"/>
        <w:autoSpaceDN w:val="0"/>
        <w:adjustRightInd w:val="0"/>
        <w:snapToGrid w:val="0"/>
        <w:spacing w:before="100" w:after="100" w:line="360" w:lineRule="auto"/>
        <w:ind w:right="-197" w:rightChars="-94" w:firstLine="641"/>
        <w:contextualSpacing/>
        <w:jc w:val="left"/>
        <w:rPr>
          <w:rFonts w:hint="eastAsia" w:ascii="方正仿宋_GBK" w:hAnsi="方正仿宋_GBK" w:eastAsia="方正仿宋_GBK" w:cs="方正仿宋_GBK"/>
          <w:kern w:val="0"/>
          <w:sz w:val="28"/>
          <w:szCs w:val="28"/>
          <w:lang w:val="zh-CN"/>
        </w:rPr>
      </w:pPr>
      <w:r>
        <w:rPr>
          <w:rFonts w:hint="eastAsia" w:ascii="方正仿宋_GBK" w:hAnsi="方正仿宋_GBK" w:eastAsia="方正仿宋_GBK" w:cs="方正仿宋_GBK"/>
          <w:kern w:val="0"/>
          <w:sz w:val="28"/>
          <w:szCs w:val="28"/>
          <w:lang w:val="en-US" w:eastAsia="zh-CN"/>
        </w:rPr>
        <w:t>4</w:t>
      </w:r>
      <w:r>
        <w:rPr>
          <w:rFonts w:hint="eastAsia" w:ascii="方正仿宋_GBK" w:hAnsi="方正仿宋_GBK" w:eastAsia="方正仿宋_GBK" w:cs="方正仿宋_GBK"/>
          <w:kern w:val="0"/>
          <w:sz w:val="28"/>
          <w:szCs w:val="28"/>
          <w:lang w:val="zh-CN"/>
        </w:rPr>
        <w:t>.材料真实性及对供应要求的承诺</w:t>
      </w:r>
      <w:r>
        <w:rPr>
          <w:rFonts w:hint="eastAsia" w:ascii="方正仿宋_GBK" w:hAnsi="方正仿宋_GBK" w:eastAsia="方正仿宋_GBK" w:cs="方正仿宋_GBK"/>
          <w:kern w:val="0"/>
          <w:sz w:val="28"/>
          <w:szCs w:val="28"/>
          <w:lang w:val="zh-CN" w:eastAsia="zh-CN"/>
        </w:rPr>
        <w:t>（见附件）；</w:t>
      </w:r>
    </w:p>
    <w:p>
      <w:pPr>
        <w:autoSpaceDE w:val="0"/>
        <w:autoSpaceDN w:val="0"/>
        <w:adjustRightInd w:val="0"/>
        <w:snapToGrid w:val="0"/>
        <w:spacing w:before="100" w:after="100" w:line="360" w:lineRule="auto"/>
        <w:ind w:right="-197" w:rightChars="-94" w:firstLine="641"/>
        <w:contextualSpacing/>
        <w:jc w:val="left"/>
        <w:rPr>
          <w:rFonts w:hint="default" w:ascii="方正仿宋_GBK" w:hAnsi="方正仿宋_GBK" w:eastAsia="方正仿宋_GBK" w:cs="方正仿宋_GBK"/>
          <w:kern w:val="0"/>
          <w:sz w:val="28"/>
          <w:szCs w:val="28"/>
          <w:lang w:val="en-US" w:eastAsia="zh-CN"/>
        </w:rPr>
      </w:pPr>
      <w:r>
        <w:rPr>
          <w:rFonts w:hint="eastAsia" w:ascii="方正仿宋_GBK" w:hAnsi="方正仿宋_GBK" w:eastAsia="方正仿宋_GBK" w:cs="方正仿宋_GBK"/>
          <w:kern w:val="0"/>
          <w:sz w:val="28"/>
          <w:szCs w:val="28"/>
          <w:lang w:val="en-US" w:eastAsia="zh-CN"/>
        </w:rPr>
        <w:t>5.应标技术方案。</w:t>
      </w:r>
    </w:p>
    <w:p>
      <w:pPr>
        <w:autoSpaceDE w:val="0"/>
        <w:autoSpaceDN w:val="0"/>
        <w:adjustRightInd w:val="0"/>
        <w:snapToGrid w:val="0"/>
        <w:spacing w:before="100" w:after="100" w:line="360" w:lineRule="auto"/>
        <w:ind w:right="-197" w:rightChars="-94" w:firstLine="641"/>
        <w:contextualSpacing/>
        <w:jc w:val="left"/>
        <w:rPr>
          <w:rFonts w:hint="eastAsia" w:ascii="方正仿宋_GBK" w:hAnsi="方正仿宋_GBK" w:eastAsia="方正仿宋_GBK" w:cs="方正仿宋_GBK"/>
          <w:kern w:val="0"/>
          <w:sz w:val="28"/>
          <w:szCs w:val="28"/>
          <w:lang w:val="zh-CN"/>
        </w:rPr>
      </w:pPr>
      <w:r>
        <w:rPr>
          <w:rFonts w:hint="eastAsia" w:ascii="方正仿宋_GBK" w:hAnsi="方正仿宋_GBK" w:eastAsia="方正仿宋_GBK" w:cs="方正仿宋_GBK"/>
          <w:kern w:val="0"/>
          <w:sz w:val="28"/>
          <w:szCs w:val="28"/>
          <w:lang w:val="zh-CN"/>
        </w:rPr>
        <w:t>上述材料按顺序自编目录牢固装订成册，正本1份，副本1份，均需采用A4纸（图纸等除外）。投标响应文件上要明确标注供应商全称及“正本”或“副本”字样，一旦正本和副本有差异以正本为准。投标响应文件正本须打印并由法定代表人或其授权人签字并加盖公章。副本可复印，但须加盖公章。</w:t>
      </w:r>
    </w:p>
    <w:p>
      <w:pPr>
        <w:autoSpaceDE w:val="0"/>
        <w:autoSpaceDN w:val="0"/>
        <w:adjustRightInd w:val="0"/>
        <w:snapToGrid w:val="0"/>
        <w:spacing w:before="100" w:after="100" w:line="360" w:lineRule="auto"/>
        <w:ind w:right="-197" w:rightChars="-94" w:firstLine="641"/>
        <w:contextualSpacing/>
        <w:jc w:val="left"/>
        <w:rPr>
          <w:rFonts w:hint="eastAsia" w:ascii="方正仿宋_GBK" w:hAnsi="方正仿宋_GBK" w:eastAsia="方正仿宋_GBK" w:cs="方正仿宋_GBK"/>
          <w:kern w:val="0"/>
          <w:sz w:val="28"/>
          <w:szCs w:val="28"/>
          <w:lang w:val="zh-CN"/>
        </w:rPr>
      </w:pPr>
      <w:r>
        <w:rPr>
          <w:rFonts w:hint="eastAsia" w:ascii="方正仿宋_GBK" w:hAnsi="方正仿宋_GBK" w:eastAsia="方正仿宋_GBK" w:cs="方正仿宋_GBK"/>
          <w:kern w:val="0"/>
          <w:sz w:val="28"/>
          <w:szCs w:val="28"/>
          <w:lang w:val="zh-CN"/>
        </w:rPr>
        <w:br w:type="page"/>
      </w:r>
    </w:p>
    <w:p>
      <w:pPr>
        <w:rPr>
          <w:rFonts w:ascii="宋体" w:hAnsi="Calibri" w:eastAsia="宋体" w:cs="Times New Roman"/>
          <w:b/>
          <w:bCs/>
          <w:sz w:val="32"/>
          <w:szCs w:val="32"/>
        </w:rPr>
      </w:pPr>
      <w:r>
        <w:rPr>
          <w:rFonts w:ascii="宋体"/>
          <w:b/>
          <w:bCs/>
          <w:sz w:val="32"/>
          <w:szCs w:val="32"/>
        </w:rPr>
        <w:t>附件</w:t>
      </w:r>
      <w:r>
        <w:rPr>
          <w:rFonts w:hint="eastAsia" w:ascii="宋体"/>
          <w:b/>
          <w:bCs/>
          <w:sz w:val="32"/>
          <w:szCs w:val="32"/>
        </w:rPr>
        <w:t>：</w:t>
      </w:r>
    </w:p>
    <w:p>
      <w:pPr>
        <w:rPr>
          <w:rFonts w:ascii="宋体" w:hAnsi="Calibri" w:eastAsia="宋体" w:cs="Times New Roman"/>
          <w:sz w:val="24"/>
        </w:rPr>
      </w:pPr>
    </w:p>
    <w:p>
      <w:pPr>
        <w:jc w:val="center"/>
        <w:rPr>
          <w:rFonts w:hint="eastAsia" w:ascii="黑体" w:hAnsi="黑体" w:eastAsia="方正仿宋_GBK" w:cs="Times New Roman"/>
          <w:b/>
          <w:bCs/>
          <w:sz w:val="36"/>
          <w:szCs w:val="36"/>
          <w:lang w:eastAsia="zh-CN"/>
        </w:rPr>
      </w:pPr>
      <w:r>
        <w:rPr>
          <w:rFonts w:hint="eastAsia" w:ascii="黑体" w:hAnsi="黑体" w:eastAsia="黑体" w:cs="黑体"/>
          <w:b/>
          <w:bCs/>
          <w:sz w:val="36"/>
          <w:szCs w:val="36"/>
        </w:rPr>
        <w:t>材料真实性及对供应要求的承诺</w:t>
      </w:r>
      <w:r>
        <w:rPr>
          <w:rFonts w:hint="eastAsia" w:ascii="黑体" w:hAnsi="黑体" w:eastAsia="黑体" w:cs="黑体"/>
          <w:b/>
          <w:bCs/>
          <w:sz w:val="36"/>
          <w:szCs w:val="36"/>
          <w:lang w:eastAsia="zh-CN"/>
        </w:rPr>
        <w:t>函</w:t>
      </w:r>
    </w:p>
    <w:p>
      <w:pPr>
        <w:jc w:val="center"/>
        <w:rPr>
          <w:rFonts w:ascii="宋体" w:hAnsi="Calibri" w:eastAsia="宋体" w:cs="Times New Roman"/>
          <w:b/>
          <w:bCs/>
          <w:sz w:val="36"/>
          <w:szCs w:val="36"/>
        </w:rPr>
      </w:pPr>
    </w:p>
    <w:p>
      <w:pPr>
        <w:jc w:val="left"/>
        <w:rPr>
          <w:rFonts w:ascii="仿宋" w:hAnsi="仿宋" w:eastAsia="仿宋" w:cs="Times New Roman"/>
          <w:sz w:val="30"/>
          <w:szCs w:val="30"/>
        </w:rPr>
      </w:pPr>
      <w:r>
        <w:rPr>
          <w:rFonts w:hint="eastAsia" w:ascii="仿宋" w:hAnsi="仿宋" w:eastAsia="仿宋"/>
          <w:sz w:val="30"/>
          <w:szCs w:val="30"/>
        </w:rPr>
        <w:t>南通市行政审批局</w:t>
      </w:r>
      <w:r>
        <w:rPr>
          <w:rFonts w:hint="eastAsia" w:ascii="仿宋" w:hAnsi="仿宋" w:eastAsia="仿宋" w:cs="Times New Roman"/>
          <w:sz w:val="30"/>
          <w:szCs w:val="30"/>
        </w:rPr>
        <w:t>：</w:t>
      </w:r>
    </w:p>
    <w:p>
      <w:pPr>
        <w:ind w:firstLine="560"/>
        <w:jc w:val="left"/>
        <w:rPr>
          <w:rFonts w:ascii="仿宋" w:hAnsi="仿宋" w:eastAsia="仿宋" w:cs="Times New Roman"/>
          <w:sz w:val="30"/>
          <w:szCs w:val="30"/>
        </w:rPr>
      </w:pPr>
      <w:r>
        <w:rPr>
          <w:rFonts w:hint="eastAsia" w:ascii="仿宋" w:hAnsi="仿宋" w:eastAsia="仿宋" w:cs="Times New Roman"/>
          <w:sz w:val="30"/>
          <w:szCs w:val="30"/>
        </w:rPr>
        <w:t>我单位</w:t>
      </w:r>
      <w:r>
        <w:rPr>
          <w:rFonts w:ascii="仿宋" w:hAnsi="仿宋" w:eastAsia="仿宋" w:cs="Times New Roman"/>
          <w:sz w:val="30"/>
          <w:szCs w:val="30"/>
          <w:u w:val="single"/>
        </w:rPr>
        <w:t xml:space="preserve">                            </w:t>
      </w:r>
      <w:r>
        <w:rPr>
          <w:rFonts w:hint="eastAsia" w:ascii="仿宋" w:hAnsi="仿宋" w:eastAsia="仿宋" w:cs="Times New Roman"/>
          <w:sz w:val="30"/>
          <w:szCs w:val="30"/>
        </w:rPr>
        <w:t>（供应商名称）郑重承诺：</w:t>
      </w:r>
    </w:p>
    <w:p>
      <w:pPr>
        <w:ind w:firstLine="560"/>
        <w:jc w:val="left"/>
        <w:rPr>
          <w:rFonts w:ascii="仿宋_GB2312" w:hAnsi="Calibri" w:eastAsia="仿宋_GB2312" w:cs="Times New Roman"/>
          <w:sz w:val="28"/>
          <w:szCs w:val="28"/>
        </w:rPr>
      </w:pPr>
      <w:r>
        <w:rPr>
          <w:rFonts w:hint="eastAsia" w:ascii="仿宋" w:hAnsi="仿宋" w:eastAsia="仿宋" w:cs="Times New Roman"/>
          <w:sz w:val="30"/>
          <w:szCs w:val="30"/>
        </w:rPr>
        <w:t>贵方组织的</w:t>
      </w:r>
      <w:r>
        <w:rPr>
          <w:rFonts w:hint="eastAsia" w:ascii="Times New Roman" w:hAnsi="Times New Roman" w:eastAsia="方正仿宋_GBK"/>
          <w:snapToGrid w:val="0"/>
          <w:color w:val="000000"/>
          <w:kern w:val="0"/>
          <w:sz w:val="32"/>
          <w:szCs w:val="32"/>
        </w:rPr>
        <w:t>“互联网+监管”可视化平台</w:t>
      </w:r>
      <w:r>
        <w:rPr>
          <w:rFonts w:hint="eastAsia" w:ascii="Times New Roman" w:hAnsi="Times New Roman" w:eastAsia="方正仿宋_GBK" w:cs="Times New Roman"/>
          <w:sz w:val="32"/>
          <w:szCs w:val="32"/>
          <w:lang w:eastAsia="zh-CN"/>
        </w:rPr>
        <w:t>项目</w:t>
      </w:r>
      <w:r>
        <w:rPr>
          <w:rFonts w:hint="eastAsia" w:ascii="仿宋" w:hAnsi="仿宋" w:eastAsia="仿宋" w:cs="Times New Roman"/>
          <w:sz w:val="30"/>
          <w:szCs w:val="30"/>
        </w:rPr>
        <w:t>，我单位</w:t>
      </w:r>
      <w:r>
        <w:rPr>
          <w:rFonts w:hint="eastAsia" w:ascii="仿宋" w:hAnsi="仿宋" w:eastAsia="仿宋" w:cs="Times New Roman"/>
          <w:sz w:val="30"/>
          <w:szCs w:val="30"/>
          <w:lang w:eastAsia="zh-CN"/>
        </w:rPr>
        <w:t>所提交的材料均为真实的，且能提供满足供应要求的功能建设内容。</w:t>
      </w:r>
    </w:p>
    <w:p>
      <w:pPr>
        <w:ind w:firstLine="560"/>
        <w:jc w:val="left"/>
        <w:rPr>
          <w:rFonts w:ascii="仿宋_GB2312" w:hAnsi="Calibri" w:eastAsia="仿宋_GB2312" w:cs="Times New Roman"/>
          <w:sz w:val="28"/>
          <w:szCs w:val="28"/>
        </w:rPr>
      </w:pPr>
    </w:p>
    <w:p>
      <w:pPr>
        <w:ind w:firstLine="560"/>
        <w:jc w:val="left"/>
        <w:rPr>
          <w:rFonts w:ascii="仿宋" w:hAnsi="仿宋" w:eastAsia="仿宋" w:cs="Times New Roman"/>
          <w:sz w:val="30"/>
          <w:szCs w:val="30"/>
        </w:rPr>
      </w:pPr>
      <w:r>
        <w:rPr>
          <w:rFonts w:ascii="仿宋" w:hAnsi="仿宋" w:eastAsia="仿宋" w:cs="Times New Roman"/>
          <w:sz w:val="30"/>
          <w:szCs w:val="30"/>
        </w:rPr>
        <w:t xml:space="preserve">           </w:t>
      </w:r>
      <w:r>
        <w:rPr>
          <w:rFonts w:hint="eastAsia" w:ascii="仿宋" w:hAnsi="仿宋" w:eastAsia="仿宋" w:cs="Times New Roman"/>
          <w:sz w:val="30"/>
          <w:szCs w:val="30"/>
          <w:lang w:val="en-US" w:eastAsia="zh-CN"/>
        </w:rPr>
        <w:t xml:space="preserve">      </w:t>
      </w:r>
      <w:r>
        <w:rPr>
          <w:rFonts w:ascii="仿宋" w:hAnsi="仿宋" w:eastAsia="仿宋" w:cs="Times New Roman"/>
          <w:sz w:val="30"/>
          <w:szCs w:val="30"/>
        </w:rPr>
        <w:t xml:space="preserve"> </w:t>
      </w:r>
      <w:r>
        <w:rPr>
          <w:rFonts w:hint="eastAsia" w:ascii="仿宋" w:hAnsi="仿宋" w:eastAsia="仿宋" w:cs="Times New Roman"/>
          <w:sz w:val="30"/>
          <w:szCs w:val="30"/>
        </w:rPr>
        <w:t>承诺人：（公章）</w:t>
      </w:r>
    </w:p>
    <w:p>
      <w:pPr>
        <w:ind w:firstLine="560"/>
        <w:jc w:val="left"/>
        <w:rPr>
          <w:rFonts w:ascii="仿宋" w:hAnsi="仿宋" w:eastAsia="仿宋" w:cs="Times New Roman"/>
          <w:sz w:val="30"/>
          <w:szCs w:val="30"/>
        </w:rPr>
      </w:pPr>
      <w:r>
        <w:rPr>
          <w:rFonts w:ascii="仿宋" w:hAnsi="仿宋" w:eastAsia="仿宋" w:cs="Times New Roman"/>
          <w:sz w:val="30"/>
          <w:szCs w:val="30"/>
        </w:rPr>
        <w:t xml:space="preserve">                           </w:t>
      </w:r>
      <w:r>
        <w:rPr>
          <w:rFonts w:hint="eastAsia" w:ascii="仿宋" w:hAnsi="仿宋" w:eastAsia="仿宋" w:cs="Times New Roman"/>
          <w:sz w:val="30"/>
          <w:szCs w:val="30"/>
        </w:rPr>
        <w:t>年</w:t>
      </w:r>
      <w:r>
        <w:rPr>
          <w:rFonts w:ascii="仿宋" w:hAnsi="仿宋" w:eastAsia="仿宋" w:cs="Times New Roman"/>
          <w:sz w:val="30"/>
          <w:szCs w:val="30"/>
        </w:rPr>
        <w:t xml:space="preserve">    </w:t>
      </w:r>
      <w:r>
        <w:rPr>
          <w:rFonts w:hint="eastAsia" w:ascii="仿宋" w:hAnsi="仿宋" w:eastAsia="仿宋" w:cs="Times New Roman"/>
          <w:sz w:val="30"/>
          <w:szCs w:val="30"/>
        </w:rPr>
        <w:t>月</w:t>
      </w:r>
      <w:r>
        <w:rPr>
          <w:rFonts w:ascii="仿宋" w:hAnsi="仿宋" w:eastAsia="仿宋" w:cs="Times New Roman"/>
          <w:sz w:val="30"/>
          <w:szCs w:val="30"/>
        </w:rPr>
        <w:t xml:space="preserve">   </w:t>
      </w:r>
      <w:r>
        <w:rPr>
          <w:rFonts w:hint="eastAsia" w:ascii="仿宋" w:hAnsi="仿宋" w:eastAsia="仿宋" w:cs="Times New Roman"/>
          <w:sz w:val="30"/>
          <w:szCs w:val="30"/>
        </w:rPr>
        <w:t>日</w:t>
      </w:r>
    </w:p>
    <w:bookmarkEnd w:id="0"/>
    <w:p>
      <w:pPr>
        <w:spacing w:line="520" w:lineRule="exact"/>
        <w:rPr>
          <w:rFonts w:ascii="Times New Roman" w:hAnsi="Times New Roman" w:eastAsia="黑体" w:cs="Times New Roman"/>
          <w:sz w:val="32"/>
          <w:szCs w:val="32"/>
        </w:rPr>
      </w:pPr>
    </w:p>
    <w:sectPr>
      <w:footerReference r:id="rId3" w:type="default"/>
      <w:pgSz w:w="11906" w:h="16838"/>
      <w:pgMar w:top="156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0586938"/>
      <w:docPartObj>
        <w:docPartGallery w:val="autotext"/>
      </w:docPartObj>
    </w:sdtPr>
    <w:sdtContent>
      <w:p>
        <w:pPr>
          <w:pStyle w:val="5"/>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D3E9C7"/>
    <w:multiLevelType w:val="singleLevel"/>
    <w:tmpl w:val="A1D3E9C7"/>
    <w:lvl w:ilvl="0" w:tentative="0">
      <w:start w:val="2"/>
      <w:numFmt w:val="chineseCounting"/>
      <w:suff w:val="nothing"/>
      <w:lvlText w:val="%1、"/>
      <w:lvlJc w:val="left"/>
      <w:rPr>
        <w:rFonts w:hint="eastAsia"/>
      </w:rPr>
    </w:lvl>
  </w:abstractNum>
  <w:abstractNum w:abstractNumId="1">
    <w:nsid w:val="129E7E83"/>
    <w:multiLevelType w:val="singleLevel"/>
    <w:tmpl w:val="129E7E83"/>
    <w:lvl w:ilvl="0" w:tentative="0">
      <w:start w:val="3"/>
      <w:numFmt w:val="chineseCounting"/>
      <w:suff w:val="space"/>
      <w:lvlText w:val="%1、"/>
      <w:lvlJc w:val="left"/>
      <w:rPr>
        <w:rFonts w:hint="eastAsia"/>
      </w:rPr>
    </w:lvl>
  </w:abstractNum>
  <w:abstractNum w:abstractNumId="2">
    <w:nsid w:val="14E67AC5"/>
    <w:multiLevelType w:val="multilevel"/>
    <w:tmpl w:val="14E67AC5"/>
    <w:lvl w:ilvl="0" w:tentative="0">
      <w:start w:val="5"/>
      <w:numFmt w:val="decimal"/>
      <w:lvlText w:val="%1"/>
      <w:lvlJc w:val="left"/>
      <w:pPr>
        <w:ind w:left="450" w:hanging="450"/>
      </w:pPr>
      <w:rPr>
        <w:rFonts w:hint="default"/>
      </w:rPr>
    </w:lvl>
    <w:lvl w:ilvl="1" w:tentative="0">
      <w:start w:val="1"/>
      <w:numFmt w:val="decimal"/>
      <w:pStyle w:val="3"/>
      <w:lvlText w:val="%1.%2"/>
      <w:lvlJc w:val="left"/>
      <w:pPr>
        <w:ind w:left="720" w:hanging="720"/>
      </w:pPr>
      <w:rPr>
        <w:rFonts w:hint="eastAsia" w:ascii="仿宋_GB2312" w:eastAsia="仿宋_GB2312"/>
      </w:rPr>
    </w:lvl>
    <w:lvl w:ilvl="2" w:tentative="0">
      <w:start w:val="1"/>
      <w:numFmt w:val="decimal"/>
      <w:lvlText w:val="%1.%2.%3"/>
      <w:lvlJc w:val="left"/>
      <w:pPr>
        <w:ind w:left="720" w:hanging="720"/>
      </w:pPr>
      <w:rPr>
        <w:rFonts w:hint="eastAsia" w:ascii="仿宋_GB2312" w:eastAsia="仿宋_GB2312"/>
      </w:rPr>
    </w:lvl>
    <w:lvl w:ilvl="3" w:tentative="0">
      <w:start w:val="1"/>
      <w:numFmt w:val="decimal"/>
      <w:lvlText w:val="%1.%2.%3.%4"/>
      <w:lvlJc w:val="left"/>
      <w:pPr>
        <w:ind w:left="1080" w:hanging="1080"/>
      </w:pPr>
      <w:rPr>
        <w:rFonts w:hint="eastAsia" w:ascii="仿宋_GB2312" w:eastAsia="仿宋_GB2312"/>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3">
    <w:nsid w:val="36C2BBBE"/>
    <w:multiLevelType w:val="multilevel"/>
    <w:tmpl w:val="36C2BBBE"/>
    <w:lvl w:ilvl="0" w:tentative="0">
      <w:start w:val="2"/>
      <w:numFmt w:val="chineseCounting"/>
      <w:suff w:val="space"/>
      <w:lvlText w:val="第%1章"/>
      <w:lvlJc w:val="left"/>
      <w:pPr>
        <w:ind w:left="0" w:firstLine="0"/>
      </w:pPr>
      <w:rPr>
        <w:rFonts w:hint="eastAsia" w:ascii="宋体" w:hAnsi="宋体" w:eastAsia="宋体" w:cs="宋体"/>
        <w:b/>
        <w:sz w:val="44"/>
      </w:rPr>
    </w:lvl>
    <w:lvl w:ilvl="1" w:tentative="0">
      <w:start w:val="1"/>
      <w:numFmt w:val="decimal"/>
      <w:isLgl/>
      <w:suff w:val="space"/>
      <w:lvlText w:val="%1.%2"/>
      <w:lvlJc w:val="left"/>
      <w:pPr>
        <w:tabs>
          <w:tab w:val="left" w:pos="0"/>
        </w:tabs>
        <w:ind w:left="0" w:firstLine="0"/>
      </w:pPr>
      <w:rPr>
        <w:rFonts w:hint="eastAsia" w:ascii="Arial" w:hAnsi="Arial" w:eastAsia="黑体" w:cs="宋体"/>
        <w:b/>
        <w:sz w:val="36"/>
      </w:rPr>
    </w:lvl>
    <w:lvl w:ilvl="2" w:tentative="0">
      <w:start w:val="1"/>
      <w:numFmt w:val="decimal"/>
      <w:isLgl/>
      <w:suff w:val="space"/>
      <w:lvlText w:val="%1.%2.%3"/>
      <w:lvlJc w:val="left"/>
      <w:pPr>
        <w:ind w:left="0" w:firstLine="0"/>
      </w:pPr>
      <w:rPr>
        <w:rFonts w:hint="eastAsia" w:ascii="Arial" w:hAnsi="Arial" w:eastAsia="黑体" w:cs="宋体"/>
        <w:b/>
        <w:sz w:val="32"/>
        <w:szCs w:val="30"/>
      </w:rPr>
    </w:lvl>
    <w:lvl w:ilvl="3" w:tentative="0">
      <w:start w:val="1"/>
      <w:numFmt w:val="decimal"/>
      <w:isLgl/>
      <w:suff w:val="space"/>
      <w:lvlText w:val="%1.%2.%3.%4"/>
      <w:lvlJc w:val="left"/>
      <w:pPr>
        <w:ind w:left="0" w:firstLine="0"/>
      </w:pPr>
      <w:rPr>
        <w:rFonts w:hint="eastAsia" w:ascii="Arial" w:hAnsi="Arial" w:eastAsia="黑体" w:cs="宋体"/>
        <w:b/>
        <w:sz w:val="28"/>
      </w:rPr>
    </w:lvl>
    <w:lvl w:ilvl="4" w:tentative="0">
      <w:start w:val="1"/>
      <w:numFmt w:val="decimal"/>
      <w:isLgl/>
      <w:suff w:val="space"/>
      <w:lvlText w:val="%1.%2.%3.%4.%5"/>
      <w:lvlJc w:val="left"/>
      <w:pPr>
        <w:ind w:left="0" w:firstLine="0"/>
      </w:pPr>
      <w:rPr>
        <w:rFonts w:hint="eastAsia" w:ascii="Arial" w:hAnsi="Arial" w:eastAsia="黑体" w:cs="宋体"/>
        <w:b/>
        <w:i w:val="0"/>
        <w:sz w:val="24"/>
      </w:rPr>
    </w:lvl>
    <w:lvl w:ilvl="5" w:tentative="0">
      <w:start w:val="1"/>
      <w:numFmt w:val="decimal"/>
      <w:isLgl/>
      <w:suff w:val="space"/>
      <w:lvlText w:val="%1.%2.%3.%4.%5.%6."/>
      <w:lvlJc w:val="left"/>
      <w:pPr>
        <w:ind w:left="3135" w:hanging="1151"/>
      </w:pPr>
      <w:rPr>
        <w:rFonts w:hint="eastAsia" w:ascii="Arial" w:hAnsi="Arial" w:eastAsia="宋体" w:cs="Arial"/>
      </w:rPr>
    </w:lvl>
    <w:lvl w:ilvl="6" w:tentative="0">
      <w:start w:val="1"/>
      <w:numFmt w:val="decimal"/>
      <w:isLgl/>
      <w:suff w:val="space"/>
      <w:lvlText w:val="%1.%2.%3.%4.%5.%6.%7."/>
      <w:lvlJc w:val="left"/>
      <w:pPr>
        <w:ind w:left="1296" w:hanging="1296"/>
      </w:pPr>
      <w:rPr>
        <w:rFonts w:hint="eastAsia" w:ascii="Arial" w:hAnsi="Arial" w:eastAsia="宋体" w:cs="Arial"/>
      </w:rPr>
    </w:lvl>
    <w:lvl w:ilvl="7" w:tentative="0">
      <w:start w:val="1"/>
      <w:numFmt w:val="decimal"/>
      <w:isLgl/>
      <w:suff w:val="space"/>
      <w:lvlText w:val="%1.%2.%3.%4.%5.%6.%7.%8."/>
      <w:lvlJc w:val="left"/>
      <w:pPr>
        <w:ind w:left="0" w:firstLine="0"/>
      </w:pPr>
      <w:rPr>
        <w:rFonts w:hint="eastAsia" w:ascii="Arial" w:hAnsi="Arial" w:eastAsia="宋体" w:cs="Arial"/>
      </w:rPr>
    </w:lvl>
    <w:lvl w:ilvl="8" w:tentative="0">
      <w:start w:val="1"/>
      <w:numFmt w:val="decimal"/>
      <w:isLgl/>
      <w:lvlText w:val="%1.%2.%3.%4.%5.%6.%7.%8.%9."/>
      <w:lvlJc w:val="left"/>
      <w:pPr>
        <w:tabs>
          <w:tab w:val="left" w:pos="1583"/>
        </w:tabs>
        <w:ind w:left="1583" w:hanging="1583"/>
      </w:pPr>
      <w:rPr>
        <w:rFonts w:hint="eastAsia" w:ascii="宋体" w:hAnsi="宋体" w:eastAsia="宋体" w:cs="宋体"/>
      </w:rPr>
    </w:lvl>
  </w:abstractNum>
  <w:abstractNum w:abstractNumId="4">
    <w:nsid w:val="455168FB"/>
    <w:multiLevelType w:val="multilevel"/>
    <w:tmpl w:val="455168FB"/>
    <w:lvl w:ilvl="0" w:tentative="0">
      <w:start w:val="1"/>
      <w:numFmt w:val="chineseCountingThousand"/>
      <w:pStyle w:val="2"/>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52F07876"/>
    <w:multiLevelType w:val="multilevel"/>
    <w:tmpl w:val="52F07876"/>
    <w:lvl w:ilvl="0" w:tentative="0">
      <w:start w:val="1"/>
      <w:numFmt w:val="decimal"/>
      <w:suff w:val="nothing"/>
      <w:lvlText w:val="（%1）"/>
      <w:lvlJc w:val="left"/>
      <w:pPr>
        <w:ind w:left="900" w:hanging="420"/>
      </w:pPr>
      <w:rPr>
        <w:rFonts w:hint="eastAsia"/>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1A4"/>
    <w:rsid w:val="0003088A"/>
    <w:rsid w:val="00063538"/>
    <w:rsid w:val="000D1E87"/>
    <w:rsid w:val="00147E6D"/>
    <w:rsid w:val="00151E3F"/>
    <w:rsid w:val="001561C7"/>
    <w:rsid w:val="00157275"/>
    <w:rsid w:val="0016302E"/>
    <w:rsid w:val="00173619"/>
    <w:rsid w:val="00174E19"/>
    <w:rsid w:val="001A2970"/>
    <w:rsid w:val="002108F4"/>
    <w:rsid w:val="00251CA5"/>
    <w:rsid w:val="002A3026"/>
    <w:rsid w:val="002B47CE"/>
    <w:rsid w:val="002F2018"/>
    <w:rsid w:val="002F620E"/>
    <w:rsid w:val="00311F3E"/>
    <w:rsid w:val="00366189"/>
    <w:rsid w:val="00393CD5"/>
    <w:rsid w:val="003B50DE"/>
    <w:rsid w:val="003F37DE"/>
    <w:rsid w:val="003F5CDD"/>
    <w:rsid w:val="00427288"/>
    <w:rsid w:val="004565E0"/>
    <w:rsid w:val="004822D1"/>
    <w:rsid w:val="00507074"/>
    <w:rsid w:val="00515913"/>
    <w:rsid w:val="00565C8F"/>
    <w:rsid w:val="005B0960"/>
    <w:rsid w:val="005D40FE"/>
    <w:rsid w:val="005E3342"/>
    <w:rsid w:val="00652BF8"/>
    <w:rsid w:val="006A381D"/>
    <w:rsid w:val="006C071D"/>
    <w:rsid w:val="006C7F22"/>
    <w:rsid w:val="00700CB6"/>
    <w:rsid w:val="00720CCB"/>
    <w:rsid w:val="00736852"/>
    <w:rsid w:val="007661A4"/>
    <w:rsid w:val="0076673B"/>
    <w:rsid w:val="007759E6"/>
    <w:rsid w:val="00784AB2"/>
    <w:rsid w:val="007C6A1D"/>
    <w:rsid w:val="008005E6"/>
    <w:rsid w:val="00822A80"/>
    <w:rsid w:val="008D1B33"/>
    <w:rsid w:val="008D5553"/>
    <w:rsid w:val="00900BB9"/>
    <w:rsid w:val="00901E27"/>
    <w:rsid w:val="00914944"/>
    <w:rsid w:val="009178CB"/>
    <w:rsid w:val="00933662"/>
    <w:rsid w:val="009C2248"/>
    <w:rsid w:val="00A109D3"/>
    <w:rsid w:val="00A72772"/>
    <w:rsid w:val="00A85B96"/>
    <w:rsid w:val="00A93B25"/>
    <w:rsid w:val="00AE1C1A"/>
    <w:rsid w:val="00B01487"/>
    <w:rsid w:val="00B024BA"/>
    <w:rsid w:val="00B76C3D"/>
    <w:rsid w:val="00B92DB9"/>
    <w:rsid w:val="00BC571A"/>
    <w:rsid w:val="00C131BF"/>
    <w:rsid w:val="00C33214"/>
    <w:rsid w:val="00C42D66"/>
    <w:rsid w:val="00C826E2"/>
    <w:rsid w:val="00CC2FD4"/>
    <w:rsid w:val="00D17BEF"/>
    <w:rsid w:val="00D20E99"/>
    <w:rsid w:val="00D7523F"/>
    <w:rsid w:val="00DF5845"/>
    <w:rsid w:val="00E4379C"/>
    <w:rsid w:val="00E469A8"/>
    <w:rsid w:val="00E86183"/>
    <w:rsid w:val="00ED5B24"/>
    <w:rsid w:val="00EF3862"/>
    <w:rsid w:val="00F30DEC"/>
    <w:rsid w:val="00F64F0B"/>
    <w:rsid w:val="00FA329E"/>
    <w:rsid w:val="00FA4C70"/>
    <w:rsid w:val="0C38642E"/>
    <w:rsid w:val="0E6D23C7"/>
    <w:rsid w:val="14452B81"/>
    <w:rsid w:val="15145B46"/>
    <w:rsid w:val="19DD45BA"/>
    <w:rsid w:val="1C281A05"/>
    <w:rsid w:val="1F023D68"/>
    <w:rsid w:val="23973EB3"/>
    <w:rsid w:val="28322923"/>
    <w:rsid w:val="2CAC6AD4"/>
    <w:rsid w:val="337B28A7"/>
    <w:rsid w:val="33E42C19"/>
    <w:rsid w:val="38C27C84"/>
    <w:rsid w:val="39611813"/>
    <w:rsid w:val="39887EE4"/>
    <w:rsid w:val="39F74987"/>
    <w:rsid w:val="3D1D218C"/>
    <w:rsid w:val="3F940E67"/>
    <w:rsid w:val="411200F5"/>
    <w:rsid w:val="427E7BB6"/>
    <w:rsid w:val="4DB330F3"/>
    <w:rsid w:val="4EB730E5"/>
    <w:rsid w:val="4EE376F3"/>
    <w:rsid w:val="4F1B1B4E"/>
    <w:rsid w:val="4F3C2F4F"/>
    <w:rsid w:val="57634936"/>
    <w:rsid w:val="62FA208B"/>
    <w:rsid w:val="65332A46"/>
    <w:rsid w:val="65C1678D"/>
    <w:rsid w:val="6F997A32"/>
    <w:rsid w:val="71D71A83"/>
    <w:rsid w:val="7AE756B9"/>
    <w:rsid w:val="7B674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line="360" w:lineRule="auto"/>
      <w:ind w:left="426"/>
      <w:outlineLvl w:val="0"/>
    </w:pPr>
    <w:rPr>
      <w:rFonts w:ascii="仿宋" w:hAnsi="仿宋" w:eastAsia="仿宋"/>
      <w:b/>
      <w:bCs/>
      <w:kern w:val="44"/>
      <w:sz w:val="36"/>
      <w:szCs w:val="44"/>
      <w:lang w:val="zh-CN"/>
    </w:rPr>
  </w:style>
  <w:style w:type="paragraph" w:styleId="3">
    <w:name w:val="heading 2"/>
    <w:basedOn w:val="1"/>
    <w:next w:val="1"/>
    <w:unhideWhenUsed/>
    <w:qFormat/>
    <w:uiPriority w:val="0"/>
    <w:pPr>
      <w:keepNext/>
      <w:keepLines/>
      <w:numPr>
        <w:ilvl w:val="1"/>
        <w:numId w:val="2"/>
      </w:numPr>
      <w:spacing w:line="360" w:lineRule="auto"/>
      <w:outlineLvl w:val="1"/>
    </w:pPr>
    <w:rPr>
      <w:rFonts w:hAnsi="仿宋_GB2312" w:eastAsia="仿宋"/>
      <w:b/>
      <w:bCs/>
      <w:kern w:val="44"/>
      <w:sz w:val="32"/>
      <w:szCs w:val="32"/>
      <w:lang w:val="zh-CN"/>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qFormat/>
    <w:uiPriority w:val="99"/>
    <w:rPr>
      <w:color w:val="0000FF"/>
      <w:u w:val="single"/>
    </w:rPr>
  </w:style>
  <w:style w:type="character" w:customStyle="1" w:styleId="12">
    <w:name w:val="页眉 字符"/>
    <w:basedOn w:val="10"/>
    <w:link w:val="6"/>
    <w:semiHidden/>
    <w:qFormat/>
    <w:uiPriority w:val="99"/>
    <w:rPr>
      <w:sz w:val="18"/>
      <w:szCs w:val="18"/>
    </w:rPr>
  </w:style>
  <w:style w:type="character" w:customStyle="1" w:styleId="13">
    <w:name w:val="页脚 字符"/>
    <w:basedOn w:val="10"/>
    <w:link w:val="5"/>
    <w:qFormat/>
    <w:uiPriority w:val="99"/>
    <w:rPr>
      <w:sz w:val="18"/>
      <w:szCs w:val="18"/>
    </w:rPr>
  </w:style>
  <w:style w:type="paragraph" w:customStyle="1" w:styleId="14">
    <w:name w:val="p0"/>
    <w:basedOn w:val="1"/>
    <w:qFormat/>
    <w:uiPriority w:val="0"/>
    <w:pPr>
      <w:widowControl/>
    </w:pPr>
    <w:rPr>
      <w:rFonts w:ascii="Calibri" w:hAnsi="Calibri" w:eastAsia="宋体" w:cs="Calibri"/>
      <w:kern w:val="0"/>
      <w:szCs w:val="21"/>
    </w:rPr>
  </w:style>
  <w:style w:type="character" w:customStyle="1" w:styleId="15">
    <w:name w:val="批注框文本 字符"/>
    <w:basedOn w:val="10"/>
    <w:link w:val="4"/>
    <w:semiHidden/>
    <w:qFormat/>
    <w:uiPriority w:val="99"/>
    <w:rPr>
      <w:sz w:val="18"/>
      <w:szCs w:val="18"/>
    </w:rPr>
  </w:style>
  <w:style w:type="paragraph" w:customStyle="1" w:styleId="16">
    <w:name w:val="标题1"/>
    <w:basedOn w:val="1"/>
    <w:next w:val="1"/>
    <w:qFormat/>
    <w:uiPriority w:val="99"/>
    <w:pPr>
      <w:tabs>
        <w:tab w:val="left" w:pos="9193"/>
        <w:tab w:val="left" w:pos="9827"/>
      </w:tabs>
      <w:autoSpaceDE w:val="0"/>
      <w:autoSpaceDN w:val="0"/>
      <w:snapToGrid w:val="0"/>
      <w:spacing w:line="700" w:lineRule="atLeast"/>
      <w:jc w:val="center"/>
    </w:pPr>
    <w:rPr>
      <w:rFonts w:ascii="方正小标宋_GBK" w:hAnsi="Times New Roman" w:eastAsia="方正小标宋_GBK" w:cs="Times New Roman"/>
      <w:snapToGrid w:val="0"/>
      <w:kern w:val="0"/>
      <w:sz w:val="44"/>
      <w:szCs w:val="20"/>
    </w:rPr>
  </w:style>
  <w:style w:type="paragraph" w:customStyle="1" w:styleId="17">
    <w:name w:val="Normal0"/>
    <w:qFormat/>
    <w:uiPriority w:val="0"/>
    <w:rPr>
      <w:rFonts w:ascii="Calibri" w:hAnsi="Calibri" w:eastAsia="宋体" w:cs="Times New Roman"/>
      <w:lang w:val="en-US" w:eastAsia="en-US" w:bidi="ar-SA"/>
    </w:rPr>
  </w:style>
  <w:style w:type="paragraph" w:customStyle="1" w:styleId="18">
    <w:name w:val="￥正文"/>
    <w:basedOn w:val="1"/>
    <w:qFormat/>
    <w:uiPriority w:val="0"/>
    <w:pPr>
      <w:ind w:firstLine="200"/>
    </w:pPr>
    <w:rPr>
      <w:rFonts w:cs="黑体" w:asciiTheme="minorHAnsi" w:hAnsiTheme="minorHAnsi" w:eastAsiaTheme="minorEastAsia"/>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7B9455-1F2C-4AB2-9C99-C83F342824C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292</Words>
  <Characters>1668</Characters>
  <Lines>13</Lines>
  <Paragraphs>3</Paragraphs>
  <TotalTime>0</TotalTime>
  <ScaleCrop>false</ScaleCrop>
  <LinksUpToDate>false</LinksUpToDate>
  <CharactersWithSpaces>1957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2020-07-05T15:37:00Z</dcterms:created>
  <dc:creator>USER</dc:creator>
  <cp:lastModifiedBy>飞鱼</cp:lastModifiedBy>
  <cp:lastPrinted>2020-08-06T08:18:00Z</cp:lastPrinted>
  <dcterms:modified xsi:type="dcterms:W3CDTF">2020-09-24T03:13:16Z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