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sz w:val="44"/>
          <w:szCs w:val="44"/>
          <w:highlight w:val="none"/>
        </w:rPr>
      </w:pPr>
      <w:bookmarkStart w:id="0" w:name="_Hlk70187013"/>
      <w:bookmarkStart w:id="1" w:name="_Hlk70189105"/>
      <w:bookmarkStart w:id="2" w:name="_Hlk70189144"/>
      <w:bookmarkStart w:id="6" w:name="_GoBack"/>
      <w:bookmarkEnd w:id="6"/>
      <w:r>
        <w:rPr>
          <w:rFonts w:ascii="Times New Roman" w:hAnsi="Times New Roman" w:eastAsia="黑体" w:cs="Times New Roman"/>
          <w:sz w:val="44"/>
          <w:szCs w:val="44"/>
          <w:highlight w:val="none"/>
        </w:rPr>
        <w:t>南通市行政审批局</w:t>
      </w:r>
      <w:bookmarkEnd w:id="0"/>
      <w:bookmarkEnd w:id="1"/>
      <w:r>
        <w:rPr>
          <w:rFonts w:hint="eastAsia" w:ascii="Times New Roman" w:hAnsi="Times New Roman" w:eastAsia="黑体" w:cs="Times New Roman"/>
          <w:sz w:val="44"/>
          <w:szCs w:val="44"/>
          <w:highlight w:val="none"/>
          <w:lang w:val="en-US" w:eastAsia="zh-CN"/>
        </w:rPr>
        <w:t>工程建设项目审批管理系统</w:t>
      </w:r>
      <w:r>
        <w:rPr>
          <w:rFonts w:hint="eastAsia" w:ascii="Times New Roman" w:hAnsi="Times New Roman" w:eastAsia="黑体" w:cs="Times New Roman"/>
          <w:sz w:val="44"/>
          <w:szCs w:val="44"/>
          <w:highlight w:val="none"/>
        </w:rPr>
        <w:t>功能完善项目</w:t>
      </w:r>
      <w:r>
        <w:rPr>
          <w:rFonts w:hint="eastAsia" w:ascii="Times New Roman" w:hAnsi="Times New Roman" w:eastAsia="黑体" w:cs="Times New Roman"/>
          <w:sz w:val="44"/>
          <w:szCs w:val="44"/>
          <w:highlight w:val="none"/>
          <w:lang w:val="zh-CN" w:eastAsia="zh-CN"/>
        </w:rPr>
        <w:t>竞争性磋商</w:t>
      </w:r>
      <w:r>
        <w:rPr>
          <w:rFonts w:hint="eastAsia" w:ascii="Times New Roman" w:hAnsi="Times New Roman" w:eastAsia="黑体" w:cs="Times New Roman"/>
          <w:sz w:val="44"/>
          <w:szCs w:val="44"/>
          <w:highlight w:val="none"/>
          <w:lang w:val="en-US" w:eastAsia="zh-CN"/>
        </w:rPr>
        <w:t>采购</w:t>
      </w:r>
      <w:r>
        <w:rPr>
          <w:rFonts w:ascii="Times New Roman" w:hAnsi="Times New Roman" w:eastAsia="黑体" w:cs="Times New Roman"/>
          <w:sz w:val="44"/>
          <w:szCs w:val="44"/>
          <w:highlight w:val="none"/>
        </w:rPr>
        <w:t>需求</w:t>
      </w:r>
      <w:bookmarkEnd w:id="2"/>
    </w:p>
    <w:p>
      <w:pPr>
        <w:spacing w:line="520" w:lineRule="exact"/>
        <w:ind w:firstLine="720" w:firstLineChars="225"/>
        <w:rPr>
          <w:rFonts w:ascii="Times New Roman" w:hAnsi="Times New Roman" w:eastAsia="方正仿宋_GBK" w:cs="Times New Roman"/>
          <w:sz w:val="32"/>
          <w:szCs w:val="32"/>
          <w:highlight w:val="none"/>
        </w:rPr>
      </w:pPr>
    </w:p>
    <w:p>
      <w:pPr>
        <w:pStyle w:val="29"/>
        <w:numPr>
          <w:ilvl w:val="0"/>
          <w:numId w:val="0"/>
        </w:numPr>
        <w:tabs>
          <w:tab w:val="left" w:pos="5325"/>
        </w:tabs>
        <w:snapToGrid w:val="0"/>
        <w:spacing w:before="156" w:beforeLines="50" w:after="156" w:afterLines="50"/>
        <w:contextualSpacing/>
        <w:rPr>
          <w:rFonts w:ascii="黑体" w:hAnsi="黑体" w:eastAsia="黑体" w:cs="Times New Roman"/>
          <w:sz w:val="32"/>
          <w:szCs w:val="32"/>
          <w:highlight w:val="none"/>
        </w:rPr>
      </w:pPr>
      <w:bookmarkStart w:id="3" w:name="_Toc344724549"/>
      <w:r>
        <w:rPr>
          <w:rFonts w:hint="default" w:ascii="黑体" w:hAnsi="黑体" w:eastAsia="黑体" w:cs="Times New Roman"/>
          <w:kern w:val="2"/>
          <w:sz w:val="32"/>
          <w:szCs w:val="32"/>
          <w:highlight w:val="none"/>
          <w:lang w:val="en-US" w:eastAsia="zh-CN" w:bidi="ar-SA"/>
        </w:rPr>
        <w:t>一、</w:t>
      </w:r>
      <w:r>
        <w:rPr>
          <w:rFonts w:hint="eastAsia" w:ascii="黑体" w:hAnsi="黑体" w:eastAsia="黑体" w:cs="Times New Roman"/>
          <w:sz w:val="32"/>
          <w:szCs w:val="32"/>
          <w:highlight w:val="none"/>
        </w:rPr>
        <w:t>基本</w:t>
      </w:r>
      <w:r>
        <w:rPr>
          <w:rFonts w:ascii="黑体" w:hAnsi="黑体" w:eastAsia="黑体" w:cs="Times New Roman"/>
          <w:sz w:val="32"/>
          <w:szCs w:val="32"/>
          <w:highlight w:val="none"/>
        </w:rPr>
        <w:t>情况</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zh-CN" w:eastAsia="zh-CN" w:bidi="ar-SA"/>
        </w:rPr>
      </w:pPr>
      <w:r>
        <w:rPr>
          <w:rFonts w:hint="eastAsia" w:ascii="Times New Roman" w:hAnsi="Times New Roman" w:eastAsia="方正仿宋_GBK" w:cs="Times New Roman"/>
          <w:b w:val="0"/>
          <w:bCs w:val="0"/>
          <w:kern w:val="0"/>
          <w:sz w:val="28"/>
          <w:szCs w:val="28"/>
          <w:highlight w:val="none"/>
          <w:lang w:val="zh-CN" w:eastAsia="zh-CN" w:bidi="ar-SA"/>
        </w:rPr>
        <w:t>为贯彻落实国家和省关于优化营商环境和深化工程建设项目审批制度改革的有关要求，进一步激发市场主体活力，按照住建部工改办《关于印发工程建设项目审批管理系统</w:t>
      </w:r>
      <w:r>
        <w:rPr>
          <w:rFonts w:hint="eastAsia" w:ascii="Times New Roman" w:hAnsi="Times New Roman" w:eastAsia="方正仿宋_GBK" w:cs="Times New Roman"/>
          <w:b w:val="0"/>
          <w:bCs w:val="0"/>
          <w:kern w:val="0"/>
          <w:sz w:val="28"/>
          <w:szCs w:val="28"/>
          <w:highlight w:val="none"/>
          <w:lang w:val="en-US" w:eastAsia="zh-CN" w:bidi="ar-SA"/>
        </w:rPr>
        <w:t>相关</w:t>
      </w:r>
      <w:r>
        <w:rPr>
          <w:rFonts w:hint="eastAsia" w:ascii="Times New Roman" w:hAnsi="Times New Roman" w:eastAsia="方正仿宋_GBK" w:cs="Times New Roman"/>
          <w:b w:val="0"/>
          <w:bCs w:val="0"/>
          <w:kern w:val="0"/>
          <w:sz w:val="28"/>
          <w:szCs w:val="28"/>
          <w:highlight w:val="none"/>
          <w:lang w:val="zh-CN" w:eastAsia="zh-CN" w:bidi="ar-SA"/>
        </w:rPr>
        <w:t>数据共享交换标准及国家工程建设项目主要审批服务事项的通知》（建工改办〔2023〕11号）以及省工改办《关于开展深化工程建设项目审批制度改革第一批重点任务试行的通知》（苏工改办〔2023〕1 号）的工作安排，基于南通市工程建设项目审批管理系统，完善低风险项目简易审批、市政公用服务报装、电子档案管理等功能，做好与省“一书三证”、南通市“多测合一”等系统对接工作，持续提升工程建设项目审批管理系统服务效能。</w:t>
      </w:r>
    </w:p>
    <w:p>
      <w:pPr>
        <w:pStyle w:val="29"/>
        <w:numPr>
          <w:ilvl w:val="0"/>
          <w:numId w:val="0"/>
        </w:numPr>
        <w:tabs>
          <w:tab w:val="left" w:pos="5325"/>
        </w:tabs>
        <w:snapToGrid w:val="0"/>
        <w:spacing w:before="156" w:beforeLines="50" w:after="156" w:afterLines="50" w:line="360" w:lineRule="auto"/>
        <w:contextualSpacing/>
        <w:rPr>
          <w:rFonts w:hint="eastAsia" w:ascii="黑体" w:hAnsi="黑体" w:eastAsia="黑体" w:cs="Times New Roman"/>
          <w:sz w:val="32"/>
          <w:szCs w:val="32"/>
          <w:highlight w:val="none"/>
        </w:rPr>
      </w:pPr>
      <w:bookmarkStart w:id="4" w:name="_Hlk70068067"/>
      <w:r>
        <w:rPr>
          <w:rFonts w:hint="default" w:ascii="黑体" w:hAnsi="黑体" w:eastAsia="黑体" w:cs="Times New Roman"/>
          <w:kern w:val="2"/>
          <w:sz w:val="32"/>
          <w:szCs w:val="32"/>
          <w:highlight w:val="none"/>
          <w:lang w:val="en-US" w:eastAsia="zh-CN" w:bidi="ar-SA"/>
        </w:rPr>
        <w:t>二、</w:t>
      </w:r>
      <w:r>
        <w:rPr>
          <w:rFonts w:hint="eastAsia" w:ascii="黑体" w:hAnsi="黑体" w:eastAsia="黑体" w:cs="Times New Roman"/>
          <w:sz w:val="32"/>
          <w:szCs w:val="32"/>
          <w:highlight w:val="none"/>
          <w:lang w:eastAsia="zh-CN"/>
        </w:rPr>
        <w:t>服务</w:t>
      </w:r>
      <w:r>
        <w:rPr>
          <w:rFonts w:hint="eastAsia" w:ascii="黑体" w:hAnsi="黑体" w:eastAsia="黑体" w:cs="Times New Roman"/>
          <w:sz w:val="32"/>
          <w:szCs w:val="32"/>
          <w:highlight w:val="none"/>
        </w:rPr>
        <w:t>内容</w:t>
      </w:r>
      <w:bookmarkEnd w:id="4"/>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zh-CN" w:eastAsia="zh-CN" w:bidi="ar-SA"/>
        </w:rPr>
      </w:pPr>
      <w:r>
        <w:rPr>
          <w:rFonts w:hint="eastAsia" w:ascii="Times New Roman" w:hAnsi="Times New Roman" w:eastAsia="方正仿宋_GBK" w:cs="Times New Roman"/>
          <w:b w:val="0"/>
          <w:bCs w:val="0"/>
          <w:kern w:val="0"/>
          <w:sz w:val="28"/>
          <w:szCs w:val="28"/>
          <w:highlight w:val="none"/>
          <w:lang w:val="en-US" w:eastAsia="zh-CN" w:bidi="ar-SA"/>
        </w:rPr>
        <w:t>1、低风险项目简易审批</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bookmarkStart w:id="5" w:name="_Toc150425303"/>
      <w:r>
        <w:rPr>
          <w:rFonts w:hint="eastAsia" w:ascii="Times New Roman" w:hAnsi="Times New Roman" w:eastAsia="方正仿宋_GBK" w:cs="Times New Roman"/>
          <w:b w:val="0"/>
          <w:bCs w:val="0"/>
          <w:kern w:val="0"/>
          <w:sz w:val="28"/>
          <w:szCs w:val="28"/>
          <w:highlight w:val="none"/>
          <w:lang w:val="en-US" w:eastAsia="zh-CN" w:bidi="ar-SA"/>
        </w:rPr>
        <w:t>1.1建立低风险项目主题和情景分类</w:t>
      </w:r>
      <w:bookmarkEnd w:id="5"/>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根据省工改办（苏工改办〔2023〕1 号）文件要求</w:t>
      </w:r>
      <w:r>
        <w:rPr>
          <w:rFonts w:hint="default" w:ascii="Times New Roman" w:hAnsi="Times New Roman" w:eastAsia="方正仿宋_GBK" w:cs="Times New Roman"/>
          <w:b w:val="0"/>
          <w:bCs w:val="0"/>
          <w:kern w:val="0"/>
          <w:sz w:val="28"/>
          <w:szCs w:val="28"/>
          <w:highlight w:val="none"/>
          <w:lang w:val="en-US" w:eastAsia="zh-CN" w:bidi="ar-SA"/>
        </w:rPr>
        <w:t>按照项目所在位置、使用功能、建设内容，将低风险项目分为房屋建筑类、城镇老旧小区改造类、既有建筑装修装饰类三种类型。其中房屋建筑类包括办公建筑、商业建筑、公共服务设施、厂房仓储等；既有建筑装修装饰类不包括个人所有的住宅室内装修。低风险项目是指功能单一，技术要求简单，不会对周边环境 和相邻的建筑、居民生活产生不利影响，不位于依法需要保护和控制的各类特定区域的项目</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default" w:ascii="Times New Roman" w:hAnsi="Times New Roman" w:eastAsia="方正仿宋_GBK" w:cs="Times New Roman"/>
          <w:b w:val="0"/>
          <w:bCs w:val="0"/>
          <w:kern w:val="0"/>
          <w:sz w:val="28"/>
          <w:szCs w:val="28"/>
          <w:highlight w:val="none"/>
          <w:lang w:val="en-US" w:eastAsia="zh-CN" w:bidi="ar-SA"/>
        </w:rPr>
        <w:t>以低风险项目为“主题”，按照不同的类型，分别建立“情景式”简易审批模式。</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1.2</w:t>
      </w:r>
      <w:r>
        <w:rPr>
          <w:rFonts w:hint="default" w:ascii="Times New Roman" w:hAnsi="Times New Roman" w:eastAsia="方正仿宋_GBK" w:cs="Times New Roman"/>
          <w:b w:val="0"/>
          <w:bCs w:val="0"/>
          <w:kern w:val="0"/>
          <w:sz w:val="28"/>
          <w:szCs w:val="28"/>
          <w:highlight w:val="none"/>
          <w:lang w:val="en-US" w:eastAsia="zh-CN" w:bidi="ar-SA"/>
        </w:rPr>
        <w:t>建立低风险项目审批事项和办理流程</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配置不同类型低风险项目全流程审批涉及的审批事项和办理流程，实现低风险项目在线办理审批。</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（1）审批事项配置</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按照不同类型低风险项目进行全流程审批事项配置及适用情形配置。</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（2）办理流程配置</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低风险项目全流程审批的阶段划分，按照不同类型分</w:t>
      </w:r>
      <w:r>
        <w:rPr>
          <w:rFonts w:hint="default" w:ascii="Times New Roman" w:hAnsi="Times New Roman" w:eastAsia="方正仿宋_GBK" w:cs="Times New Roman"/>
          <w:b w:val="0"/>
          <w:bCs w:val="0"/>
          <w:kern w:val="0"/>
          <w:sz w:val="28"/>
          <w:szCs w:val="28"/>
          <w:highlight w:val="none"/>
          <w:lang w:val="en-US" w:eastAsia="zh-CN" w:bidi="ar-SA"/>
        </w:rPr>
        <w:t>别确定。其中，房屋建筑类划分为“用地规划许可”、“开工前许可”、“竣工验收”和“不动产登记”四个阶段；城镇老旧小区改造类划分为“开工前许可”、“竣工验收”和“不动产登记”三个阶段，既有建筑装修装饰类划分为“开工前许可”、“竣工验收”两个阶段。各类型低风险项目的全流程审批时限按照不同投资来源分别确定。其中，社会投资房屋建筑类 15 个工作日，政府投资的房屋建筑类不超过 20 个工作日，城镇老旧小区改造类不超过 30 个工作日，既有建筑装修装饰类不超过 16 个工作日。</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2、</w:t>
      </w:r>
      <w:r>
        <w:rPr>
          <w:rFonts w:hint="default" w:ascii="Times New Roman" w:hAnsi="Times New Roman" w:eastAsia="方正仿宋_GBK" w:cs="Times New Roman"/>
          <w:b w:val="0"/>
          <w:bCs w:val="0"/>
          <w:kern w:val="0"/>
          <w:sz w:val="28"/>
          <w:szCs w:val="28"/>
          <w:highlight w:val="none"/>
          <w:lang w:val="en-US" w:eastAsia="zh-CN" w:bidi="ar-SA"/>
        </w:rPr>
        <w:t>市政公用服务报装</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2.1建立并细化业务类型</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根据省工改办（苏工改办〔2023〕1 号）文件要求将市政公用服务报装按照以下业务类型进行细化，完成系统配置。</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类型 1：无需进行管线建设、改造，可以直接开通的；</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类型 2：仅需建设、改造内部管线的；</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类型 3：仅需建设、改造外部管线的；</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类型 4：需要同时建设、改造内部和外部管线的。</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2.2优化流程、联合报装</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（1）优化流程</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在原有“市政公用接入”模块的基础上，按照省工改办（苏工改办〔2023〕1 号）文件要求，进行优化升级，实现用户只需提出一次业务办理申请，市政公用服务单位主动上门服务开展后续工作，直至完成接入开通。</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建设单位提出申请后，按照不同业务类型，将报装接入服务的办理流程统一优化整合为以下环节：类型 1 分为申请受理、同步开通 2 个环节；类型 2、3、4 分为申请受理、联合踏勘、联合编制方案、并联行政审批、联合施工验收、同步开通 6 个环节。小型外部管线实行零上门、零投资、零审批的“三零”服务。</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（2）联合报装</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开展市政公用服务联合报装服务，梳理联合报装申请表，材料清单，办事人员，实现一表申请、统一受理、联合办理。</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 xml:space="preserve">1、一张表单：将原先市政公用服务单位各自独立的业务办理申请表，统一整合为一张《市政公用报装接入联合办理申请表》 。建设单位只需在申请表上选择需要办理的一项或者多项业务，并填写相应的信息，实现申请环节线上“零材料”，线下“一张表”。 </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 xml:space="preserve">2、 统一受理。联合办理实行“首接负责制”，线下营业网点的窗口工作人员或者线上客服（以下统称“首接人员”）负责统一受理申请。建设单位到各地设立的市政公用服务联合办理营业网点线下提出申请的，首接人员与建设单位办理人员共同核对申请表的内容，必填项内容完整正确的，当场受理；建设单位通过工程建设项目审批管理系统（以下简称“工程审批系统”）线上提出申请的，首接人员核对信息后，工程审批系统将信息同时推送给相关市政公用服务单位，实现“一窗一网、统一受理”。 </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3、联合办理。申请受理后，市政公用服务单位和相关行政审批部门，按照“组团服务、协同联动、联合踏勘、并联审批、限时办结”的要求进行联合办理。</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3、电子档案管理</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3.1企业侧电子签章应用</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与南通市电子签章系统对接，建设单位工程建设项目报建时调用电子签章进行材料盖章，盖完章之后材料数据回流至工改系统进行存档；工改系统能够获取已签章完成的材料。支持审批部门在任何环节对企业提交的材料进行签章验证。</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4、系统对接</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4.1与省“一书三证”系统对接</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与省“一书三证”系统对接，获取建设用地规划许可证、建设工程规划许可证、乡村规划许可证、建设项目用地预审与选址意见书电子证照信息。与市资规部门相关业务系统进行对接。</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4.2与南通市“多测合一”系统对接</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与南通市“多测合一”系统对接，将工程建设项目基本信息推送至多测合一系统，同时获取多测合一系统测绘成果数据，在审批过程中应用。</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4.3与国家电网营销系统对接</w:t>
      </w:r>
    </w:p>
    <w:p>
      <w:pPr>
        <w:pStyle w:val="23"/>
        <w:ind w:left="0" w:leftChars="0" w:firstLine="560" w:firstLineChars="200"/>
        <w:rPr>
          <w:rFonts w:hint="eastAsia"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根据住建部工改办（建工改办〔2023〕11号）要求，梳理电力报装事项，整理施工、接入环节信息，进行数据对接，信息回流。</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5、工程建设项目租赁土地办理工程手续审批</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5.1建立租赁土地项目审批主题</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以租赁土地项目为“主题”，建立新审批模式。</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5.2建立租赁土地项目审批事项和办理流程</w:t>
      </w:r>
    </w:p>
    <w:p>
      <w:pPr>
        <w:pStyle w:val="23"/>
        <w:ind w:left="0" w:leftChars="0" w:firstLine="560" w:firstLineChars="200"/>
        <w:rPr>
          <w:rFonts w:hint="default" w:ascii="Times New Roman" w:hAnsi="Times New Roman" w:eastAsia="方正仿宋_GBK" w:cs="Times New Roman"/>
          <w:b w:val="0"/>
          <w:bCs w:val="0"/>
          <w:kern w:val="0"/>
          <w:sz w:val="28"/>
          <w:szCs w:val="28"/>
          <w:highlight w:val="none"/>
          <w:lang w:val="en-US" w:eastAsia="zh-CN" w:bidi="ar-SA"/>
        </w:rPr>
      </w:pPr>
      <w:r>
        <w:rPr>
          <w:rFonts w:hint="eastAsia" w:ascii="Times New Roman" w:hAnsi="Times New Roman" w:eastAsia="方正仿宋_GBK" w:cs="Times New Roman"/>
          <w:b w:val="0"/>
          <w:bCs w:val="0"/>
          <w:kern w:val="0"/>
          <w:sz w:val="28"/>
          <w:szCs w:val="28"/>
          <w:highlight w:val="none"/>
          <w:lang w:val="en-US" w:eastAsia="zh-CN" w:bidi="ar-SA"/>
        </w:rPr>
        <w:t>配置租赁土地项目审批涉及的审批事项和办理流程，实现租赁土地项目在线办理审批。主要涉及的手续有：建设工程规划许可证、防空地下室建设许可证、建设工程消防设计审查、建筑工程施工许可证和竣工验收备案（联合验收）等。</w:t>
      </w:r>
    </w:p>
    <w:bookmarkEnd w:id="3"/>
    <w:p>
      <w:pPr>
        <w:pStyle w:val="29"/>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四</w:t>
      </w:r>
      <w:r>
        <w:rPr>
          <w:rFonts w:hint="eastAsia" w:ascii="黑体" w:hAnsi="黑体" w:eastAsia="黑体" w:cs="Times New Roman"/>
          <w:sz w:val="32"/>
          <w:szCs w:val="32"/>
          <w:highlight w:val="none"/>
        </w:rPr>
        <w:t>、</w:t>
      </w:r>
      <w:r>
        <w:rPr>
          <w:rFonts w:ascii="黑体" w:hAnsi="黑体" w:eastAsia="黑体" w:cs="Times New Roman"/>
          <w:sz w:val="32"/>
          <w:szCs w:val="32"/>
          <w:highlight w:val="none"/>
        </w:rPr>
        <w:t>合同签订</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方正仿宋_GBK" w:cs="Times New Roman"/>
          <w:color w:val="FF0000"/>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中标结果</w:t>
      </w:r>
      <w:r>
        <w:rPr>
          <w:rFonts w:hint="eastAsia" w:ascii="Times New Roman" w:hAnsi="Times New Roman" w:eastAsia="方正仿宋_GBK" w:cs="Times New Roman"/>
          <w:sz w:val="28"/>
          <w:szCs w:val="28"/>
          <w:highlight w:val="none"/>
          <w:lang w:val="zh-CN"/>
        </w:rPr>
        <w:t>公示结束后，</w:t>
      </w:r>
      <w:r>
        <w:rPr>
          <w:rFonts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lang w:val="en-US" w:eastAsia="zh-CN"/>
        </w:rPr>
        <w:t>5</w:t>
      </w:r>
      <w:r>
        <w:rPr>
          <w:rFonts w:ascii="Times New Roman" w:hAnsi="Times New Roman" w:eastAsia="方正仿宋_GBK" w:cs="Times New Roman"/>
          <w:sz w:val="28"/>
          <w:szCs w:val="28"/>
          <w:highlight w:val="none"/>
          <w:lang w:val="zh-CN"/>
        </w:rPr>
        <w:t>个工作日内签订合同</w:t>
      </w:r>
      <w:r>
        <w:rPr>
          <w:rFonts w:hint="eastAsia" w:ascii="Times New Roman" w:hAnsi="Times New Roman" w:eastAsia="方正仿宋_GBK" w:cs="Times New Roman"/>
          <w:sz w:val="28"/>
          <w:szCs w:val="28"/>
          <w:highlight w:val="none"/>
          <w:lang w:val="zh-CN"/>
        </w:rPr>
        <w:t>。</w:t>
      </w:r>
    </w:p>
    <w:p>
      <w:pPr>
        <w:pStyle w:val="29"/>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五</w:t>
      </w:r>
      <w:r>
        <w:rPr>
          <w:rFonts w:hint="eastAsia" w:ascii="黑体" w:hAnsi="黑体" w:eastAsia="黑体" w:cs="Times New Roman"/>
          <w:sz w:val="32"/>
          <w:szCs w:val="32"/>
          <w:highlight w:val="none"/>
        </w:rPr>
        <w:t>、</w:t>
      </w:r>
      <w:r>
        <w:rPr>
          <w:rFonts w:ascii="黑体" w:hAnsi="黑体" w:eastAsia="黑体" w:cs="Times New Roman"/>
          <w:sz w:val="32"/>
          <w:szCs w:val="32"/>
          <w:highlight w:val="none"/>
        </w:rPr>
        <w:t>付款</w:t>
      </w:r>
      <w:r>
        <w:rPr>
          <w:rFonts w:hint="eastAsia" w:ascii="黑体" w:hAnsi="黑体" w:eastAsia="黑体" w:cs="Times New Roman"/>
          <w:sz w:val="32"/>
          <w:szCs w:val="32"/>
          <w:highlight w:val="none"/>
        </w:rPr>
        <w:t>方式</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highlight w:val="none"/>
          <w:lang w:val="zh-CN" w:eastAsia="zh-CN"/>
        </w:rPr>
      </w:pPr>
      <w:r>
        <w:rPr>
          <w:rFonts w:hint="eastAsia" w:ascii="Times New Roman" w:hAnsi="Times New Roman" w:eastAsia="方正仿宋_GBK"/>
          <w:sz w:val="28"/>
          <w:szCs w:val="28"/>
          <w:highlight w:val="none"/>
        </w:rPr>
        <w:t>签订合同发票送达后</w:t>
      </w:r>
      <w:r>
        <w:rPr>
          <w:rFonts w:hint="eastAsia" w:ascii="Times New Roman" w:hAnsi="Times New Roman" w:eastAsia="方正仿宋_GBK"/>
          <w:sz w:val="28"/>
          <w:szCs w:val="28"/>
          <w:highlight w:val="none"/>
          <w:lang w:val="en-US" w:eastAsia="zh-CN"/>
        </w:rPr>
        <w:t>15个工作日内支付</w:t>
      </w:r>
      <w:r>
        <w:rPr>
          <w:rFonts w:hint="eastAsia" w:ascii="Times New Roman" w:hAnsi="Times New Roman" w:eastAsia="方正仿宋_GBK"/>
          <w:sz w:val="28"/>
          <w:szCs w:val="28"/>
          <w:highlight w:val="none"/>
        </w:rPr>
        <w:t>合同价款</w:t>
      </w:r>
      <w:r>
        <w:rPr>
          <w:rFonts w:hint="eastAsia" w:ascii="Times New Roman" w:hAnsi="Times New Roman" w:eastAsia="方正仿宋_GBK"/>
          <w:sz w:val="28"/>
          <w:szCs w:val="28"/>
          <w:highlight w:val="none"/>
          <w:lang w:val="en-US" w:eastAsia="zh-CN"/>
        </w:rPr>
        <w:t>的50%，项目验收通过</w:t>
      </w:r>
      <w:r>
        <w:rPr>
          <w:rFonts w:hint="default" w:ascii="Times New Roman" w:hAnsi="Times New Roman" w:eastAsia="方正仿宋_GBK"/>
          <w:sz w:val="28"/>
          <w:szCs w:val="28"/>
          <w:highlight w:val="none"/>
        </w:rPr>
        <w:t>后</w:t>
      </w:r>
      <w:r>
        <w:rPr>
          <w:rFonts w:hint="default" w:ascii="Times New Roman" w:hAnsi="Times New Roman" w:eastAsia="方正仿宋_GBK"/>
          <w:sz w:val="28"/>
          <w:szCs w:val="28"/>
          <w:highlight w:val="none"/>
          <w:lang w:val="en-US" w:eastAsia="zh-CN"/>
        </w:rPr>
        <w:t>15</w:t>
      </w:r>
      <w:r>
        <w:rPr>
          <w:rFonts w:hint="default" w:ascii="Times New Roman" w:hAnsi="Times New Roman" w:eastAsia="方正仿宋_GBK"/>
          <w:sz w:val="28"/>
          <w:szCs w:val="28"/>
          <w:highlight w:val="none"/>
        </w:rPr>
        <w:t>个工作日内支付</w:t>
      </w:r>
      <w:r>
        <w:rPr>
          <w:rFonts w:hint="eastAsia" w:ascii="Times New Roman" w:hAnsi="Times New Roman" w:eastAsia="方正仿宋_GBK"/>
          <w:sz w:val="28"/>
          <w:szCs w:val="28"/>
          <w:highlight w:val="none"/>
        </w:rPr>
        <w:t>余款</w:t>
      </w:r>
      <w:r>
        <w:rPr>
          <w:rFonts w:hint="eastAsia" w:ascii="Times New Roman" w:hAnsi="Times New Roman" w:eastAsia="方正仿宋_GBK"/>
          <w:sz w:val="28"/>
          <w:szCs w:val="28"/>
          <w:highlight w:val="none"/>
          <w:lang w:val="en-US" w:eastAsia="zh-CN"/>
        </w:rPr>
        <w:t>45</w:t>
      </w:r>
      <w:r>
        <w:rPr>
          <w:rFonts w:hint="default" w:ascii="Times New Roman" w:hAnsi="Times New Roman" w:eastAsia="方正仿宋_GBK"/>
          <w:sz w:val="28"/>
          <w:szCs w:val="28"/>
          <w:highlight w:val="none"/>
        </w:rPr>
        <w:t>%</w:t>
      </w:r>
      <w:r>
        <w:rPr>
          <w:rFonts w:hint="eastAsia" w:ascii="Times New Roman" w:hAnsi="Times New Roman" w:eastAsia="方正仿宋_GBK"/>
          <w:sz w:val="28"/>
          <w:szCs w:val="28"/>
          <w:highlight w:val="none"/>
          <w:lang w:eastAsia="zh-CN"/>
        </w:rPr>
        <w:t>，</w:t>
      </w:r>
      <w:r>
        <w:rPr>
          <w:rFonts w:hint="eastAsia" w:ascii="Times New Roman" w:hAnsi="Times New Roman" w:eastAsia="方正仿宋_GBK"/>
          <w:sz w:val="28"/>
          <w:szCs w:val="28"/>
          <w:highlight w:val="none"/>
          <w:lang w:val="en-US" w:eastAsia="zh-CN"/>
        </w:rPr>
        <w:t>项目运维期满后</w:t>
      </w:r>
      <w:r>
        <w:rPr>
          <w:rFonts w:hint="default" w:ascii="Times New Roman" w:hAnsi="Times New Roman" w:eastAsia="方正仿宋_GBK"/>
          <w:sz w:val="28"/>
          <w:szCs w:val="28"/>
          <w:highlight w:val="none"/>
          <w:lang w:val="en-US" w:eastAsia="zh-CN"/>
        </w:rPr>
        <w:t>15</w:t>
      </w:r>
      <w:r>
        <w:rPr>
          <w:rFonts w:hint="default" w:ascii="Times New Roman" w:hAnsi="Times New Roman" w:eastAsia="方正仿宋_GBK"/>
          <w:sz w:val="28"/>
          <w:szCs w:val="28"/>
          <w:highlight w:val="none"/>
        </w:rPr>
        <w:t>个工作日内支付</w:t>
      </w:r>
      <w:r>
        <w:rPr>
          <w:rFonts w:hint="eastAsia" w:ascii="Times New Roman" w:hAnsi="Times New Roman" w:eastAsia="方正仿宋_GBK"/>
          <w:sz w:val="28"/>
          <w:szCs w:val="28"/>
          <w:highlight w:val="none"/>
        </w:rPr>
        <w:t>余款</w:t>
      </w:r>
      <w:r>
        <w:rPr>
          <w:rFonts w:hint="eastAsia" w:ascii="Times New Roman" w:hAnsi="Times New Roman" w:eastAsia="方正仿宋_GBK"/>
          <w:sz w:val="28"/>
          <w:szCs w:val="28"/>
          <w:highlight w:val="none"/>
          <w:lang w:val="en-US" w:eastAsia="zh-CN"/>
        </w:rPr>
        <w:t>5</w:t>
      </w:r>
      <w:r>
        <w:rPr>
          <w:rFonts w:hint="default" w:ascii="Times New Roman" w:hAnsi="Times New Roman" w:eastAsia="方正仿宋_GBK"/>
          <w:sz w:val="28"/>
          <w:szCs w:val="28"/>
          <w:highlight w:val="none"/>
        </w:rPr>
        <w:t>%</w:t>
      </w:r>
      <w:r>
        <w:rPr>
          <w:rFonts w:hint="default" w:ascii="Times New Roman" w:hAnsi="Times New Roman" w:eastAsia="方正仿宋_GBK"/>
          <w:sz w:val="28"/>
          <w:szCs w:val="28"/>
          <w:highlight w:val="none"/>
          <w:lang w:val="en-US" w:eastAsia="zh-CN"/>
        </w:rPr>
        <w:t>。</w:t>
      </w:r>
    </w:p>
    <w:p>
      <w:pPr>
        <w:keepNext w:val="0"/>
        <w:keepLines w:val="0"/>
        <w:pageBreakBefore w:val="0"/>
        <w:widowControl w:val="0"/>
        <w:tabs>
          <w:tab w:val="left" w:pos="5325"/>
        </w:tabs>
        <w:kinsoku/>
        <w:wordWrap/>
        <w:overflowPunct/>
        <w:topLinePunct w:val="0"/>
        <w:bidi w:val="0"/>
        <w:snapToGrid w:val="0"/>
        <w:spacing w:line="560" w:lineRule="exact"/>
        <w:contextualSpacing/>
        <w:textAlignment w:val="auto"/>
        <w:rPr>
          <w:rFonts w:ascii="黑体" w:hAnsi="黑体" w:eastAsia="黑体" w:cs="Times New Roman"/>
          <w:sz w:val="32"/>
          <w:szCs w:val="32"/>
          <w:highlight w:val="none"/>
        </w:rPr>
      </w:pPr>
      <w:r>
        <w:rPr>
          <w:rFonts w:hint="eastAsia" w:ascii="黑体" w:hAnsi="黑体" w:eastAsia="黑体" w:cs="Times New Roman"/>
          <w:sz w:val="32"/>
          <w:szCs w:val="32"/>
          <w:highlight w:val="none"/>
          <w:lang w:val="en-US" w:eastAsia="zh-CN"/>
        </w:rPr>
        <w:t>六</w:t>
      </w:r>
      <w:r>
        <w:rPr>
          <w:rFonts w:hint="eastAsia" w:ascii="黑体" w:hAnsi="黑体" w:eastAsia="黑体" w:cs="Times New Roman"/>
          <w:sz w:val="32"/>
          <w:szCs w:val="32"/>
          <w:highlight w:val="none"/>
        </w:rPr>
        <w:t>、</w:t>
      </w:r>
      <w:r>
        <w:rPr>
          <w:rFonts w:ascii="黑体" w:hAnsi="黑体" w:eastAsia="黑体" w:cs="Times New Roman"/>
          <w:sz w:val="32"/>
          <w:szCs w:val="32"/>
          <w:highlight w:val="none"/>
        </w:rPr>
        <w:t>投标供应商资格要求</w:t>
      </w:r>
    </w:p>
    <w:p>
      <w:pPr>
        <w:pStyle w:val="29"/>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ascii="Times New Roman" w:hAnsi="Times New Roman" w:eastAsia="方正仿宋_GBK" w:cs="Times New Roman"/>
          <w:sz w:val="28"/>
          <w:szCs w:val="28"/>
          <w:highlight w:val="none"/>
          <w:lang w:val="zh-CN"/>
        </w:rPr>
      </w:pPr>
      <w:r>
        <w:rPr>
          <w:rFonts w:hint="eastAsia" w:ascii="Times New Roman" w:hAnsi="Times New Roman" w:eastAsia="方正仿宋_GBK" w:cs="Times New Roman"/>
          <w:sz w:val="28"/>
          <w:szCs w:val="28"/>
          <w:highlight w:val="none"/>
        </w:rPr>
        <w:t>1、</w:t>
      </w:r>
      <w:r>
        <w:rPr>
          <w:rFonts w:hint="eastAsia" w:ascii="Times New Roman" w:hAnsi="Times New Roman" w:eastAsia="方正仿宋_GBK" w:cs="Times New Roman"/>
          <w:sz w:val="28"/>
          <w:szCs w:val="28"/>
          <w:highlight w:val="none"/>
          <w:lang w:val="zh-CN"/>
        </w:rPr>
        <w:t>符合《中华人民共和国政府采购法》第22条规定；</w:t>
      </w:r>
    </w:p>
    <w:p>
      <w:pPr>
        <w:pStyle w:val="29"/>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contextualSpacing/>
        <w:jc w:val="left"/>
        <w:textAlignment w:val="auto"/>
        <w:rPr>
          <w:rFonts w:hint="eastAsia" w:ascii="Times New Roman" w:hAnsi="Times New Roman" w:eastAsia="方正仿宋_GBK" w:cs="Times New Roman"/>
          <w:sz w:val="28"/>
          <w:szCs w:val="28"/>
          <w:highlight w:val="none"/>
          <w:lang w:val="zh-CN"/>
        </w:rPr>
      </w:pPr>
      <w:r>
        <w:rPr>
          <w:rFonts w:hint="eastAsia" w:ascii="Times New Roman" w:hAnsi="Times New Roman" w:eastAsia="方正仿宋_GBK" w:cs="Times New Roman"/>
          <w:sz w:val="28"/>
          <w:szCs w:val="28"/>
          <w:highlight w:val="none"/>
        </w:rPr>
        <w:t>2、</w:t>
      </w:r>
      <w:r>
        <w:rPr>
          <w:rFonts w:hint="eastAsia" w:ascii="Times New Roman" w:hAnsi="Times New Roman" w:eastAsia="方正仿宋_GBK" w:cs="Times New Roman"/>
          <w:sz w:val="28"/>
          <w:szCs w:val="28"/>
          <w:highlight w:val="none"/>
          <w:lang w:val="zh-CN"/>
        </w:rPr>
        <w:t>具有合法经营资格并能承担完全民事责任的独立法人；</w:t>
      </w:r>
    </w:p>
    <w:p>
      <w:pPr>
        <w:pStyle w:val="29"/>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highlight w:val="none"/>
          <w:lang w:val="zh-CN"/>
        </w:rPr>
      </w:pPr>
      <w:r>
        <w:rPr>
          <w:rFonts w:hint="eastAsia" w:ascii="Times New Roman" w:hAnsi="Times New Roman" w:eastAsia="方正仿宋_GBK" w:cs="Times New Roman"/>
          <w:sz w:val="28"/>
          <w:szCs w:val="28"/>
          <w:highlight w:val="none"/>
          <w:lang w:val="en-US" w:eastAsia="zh-CN"/>
        </w:rPr>
        <w:t>3、</w:t>
      </w:r>
      <w:r>
        <w:rPr>
          <w:rFonts w:hint="eastAsia" w:ascii="Times New Roman" w:hAnsi="Times New Roman" w:eastAsia="方正仿宋_GBK" w:cs="Times New Roman"/>
          <w:sz w:val="28"/>
          <w:szCs w:val="28"/>
          <w:highlight w:val="none"/>
          <w:lang w:val="zh-CN"/>
        </w:rPr>
        <w:t>未被“信用中国”网站列入失信被执行人、重大税收违法案件当事人名单、政府采购严重失信行为记录名单；</w:t>
      </w:r>
    </w:p>
    <w:p>
      <w:pPr>
        <w:pStyle w:val="29"/>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4、本项目不接受联合体参与投标。</w:t>
      </w:r>
    </w:p>
    <w:p>
      <w:pPr>
        <w:pStyle w:val="29"/>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Times New Roman" w:hAnsi="Times New Roman" w:eastAsia="方正仿宋_GBK" w:cs="Times New Roman"/>
          <w:sz w:val="32"/>
          <w:szCs w:val="32"/>
          <w:highlight w:val="none"/>
        </w:rPr>
      </w:pPr>
      <w:r>
        <w:rPr>
          <w:rFonts w:hint="eastAsia" w:ascii="黑体" w:hAnsi="黑体" w:eastAsia="黑体" w:cs="Times New Roman"/>
          <w:sz w:val="32"/>
          <w:szCs w:val="32"/>
          <w:highlight w:val="none"/>
          <w:lang w:val="en-US" w:eastAsia="zh-CN"/>
        </w:rPr>
        <w:t>七</w:t>
      </w:r>
      <w:r>
        <w:rPr>
          <w:rFonts w:hint="eastAsia" w:ascii="黑体" w:hAnsi="黑体" w:eastAsia="黑体" w:cs="Times New Roman"/>
          <w:sz w:val="32"/>
          <w:szCs w:val="32"/>
          <w:highlight w:val="none"/>
        </w:rPr>
        <w:t>、</w:t>
      </w:r>
      <w:r>
        <w:rPr>
          <w:rFonts w:hint="eastAsia" w:ascii="黑体" w:hAnsi="黑体" w:eastAsia="黑体" w:cs="Times New Roman"/>
          <w:kern w:val="2"/>
          <w:sz w:val="32"/>
          <w:szCs w:val="32"/>
          <w:highlight w:val="none"/>
          <w:lang w:val="en-US" w:eastAsia="zh-CN" w:bidi="ar-SA"/>
        </w:rPr>
        <w:t>投标文件的组成</w:t>
      </w:r>
    </w:p>
    <w:p>
      <w:pPr>
        <w:keepNext w:val="0"/>
        <w:keepLines w:val="0"/>
        <w:pageBreakBefore w:val="0"/>
        <w:widowControl w:val="0"/>
        <w:kinsoku/>
        <w:wordWrap/>
        <w:overflowPunct/>
        <w:topLinePunct w:val="0"/>
        <w:bidi w:val="0"/>
        <w:snapToGrid w:val="0"/>
        <w:spacing w:line="560" w:lineRule="exact"/>
        <w:ind w:firstLine="562" w:firstLineChars="200"/>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投标</w:t>
      </w:r>
      <w:r>
        <w:rPr>
          <w:rFonts w:hint="eastAsia" w:ascii="方正仿宋_GBK" w:hAnsi="方正仿宋_GBK" w:eastAsia="方正仿宋_GBK" w:cs="方正仿宋_GBK"/>
          <w:b/>
          <w:sz w:val="28"/>
          <w:szCs w:val="28"/>
          <w:highlight w:val="none"/>
        </w:rPr>
        <w:t>文件由商务技术响应文件、价格响应文件</w:t>
      </w:r>
      <w:r>
        <w:rPr>
          <w:rFonts w:hint="eastAsia" w:ascii="方正仿宋_GBK" w:hAnsi="方正仿宋_GBK" w:eastAsia="方正仿宋_GBK" w:cs="方正仿宋_GBK"/>
          <w:b/>
          <w:sz w:val="28"/>
          <w:szCs w:val="28"/>
          <w:highlight w:val="none"/>
          <w:lang w:val="en-US" w:eastAsia="zh-CN"/>
        </w:rPr>
        <w:t>两</w:t>
      </w:r>
      <w:r>
        <w:rPr>
          <w:rFonts w:hint="eastAsia" w:ascii="方正仿宋_GBK" w:hAnsi="方正仿宋_GBK" w:eastAsia="方正仿宋_GBK" w:cs="方正仿宋_GBK"/>
          <w:b/>
          <w:sz w:val="28"/>
          <w:szCs w:val="28"/>
          <w:highlight w:val="none"/>
        </w:rPr>
        <w:t>部分组成。</w:t>
      </w:r>
    </w:p>
    <w:p>
      <w:pPr>
        <w:keepNext w:val="0"/>
        <w:keepLines w:val="0"/>
        <w:pageBreakBefore w:val="0"/>
        <w:widowControl w:val="0"/>
        <w:kinsoku/>
        <w:wordWrap/>
        <w:overflowPunct/>
        <w:topLinePunct w:val="0"/>
        <w:bidi w:val="0"/>
        <w:snapToGrid w:val="0"/>
        <w:spacing w:line="560" w:lineRule="exact"/>
        <w:ind w:firstLine="562" w:firstLineChars="200"/>
        <w:contextualSpacing/>
        <w:textAlignment w:val="auto"/>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en-US" w:eastAsia="zh-CN"/>
        </w:rPr>
        <w:t>(一)</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商务技术</w:t>
      </w:r>
      <w:r>
        <w:rPr>
          <w:rFonts w:hint="eastAsia" w:ascii="方正仿宋_GBK" w:hAnsi="方正仿宋_GBK" w:eastAsia="方正仿宋_GBK" w:cs="方正仿宋_GBK"/>
          <w:b/>
          <w:sz w:val="28"/>
          <w:szCs w:val="28"/>
          <w:highlight w:val="none"/>
        </w:rPr>
        <w:t>响应文件（</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不得出现报价</w:t>
      </w:r>
      <w:r>
        <w:rPr>
          <w:rFonts w:hint="eastAsia" w:ascii="方正仿宋_GBK" w:hAnsi="方正仿宋_GBK" w:eastAsia="方正仿宋_GBK" w:cs="方正仿宋_GBK"/>
          <w:b/>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b/>
          <w:sz w:val="28"/>
          <w:szCs w:val="28"/>
          <w:highlight w:val="none"/>
        </w:rPr>
        <w:t>一正</w:t>
      </w:r>
      <w:r>
        <w:rPr>
          <w:rFonts w:hint="eastAsia" w:ascii="方正仿宋_GBK" w:hAnsi="方正仿宋_GBK" w:eastAsia="方正仿宋_GBK" w:cs="方正仿宋_GBK"/>
          <w:b/>
          <w:sz w:val="28"/>
          <w:szCs w:val="28"/>
          <w:highlight w:val="none"/>
          <w:lang w:val="en-US" w:eastAsia="zh-CN"/>
        </w:rPr>
        <w:t>两</w:t>
      </w:r>
      <w:r>
        <w:rPr>
          <w:rFonts w:hint="eastAsia" w:ascii="方正仿宋_GBK" w:hAnsi="方正仿宋_GBK" w:eastAsia="方正仿宋_GBK" w:cs="方正仿宋_GBK"/>
          <w:b/>
          <w:sz w:val="28"/>
          <w:szCs w:val="28"/>
          <w:highlight w:val="none"/>
        </w:rPr>
        <w:t>副，单独密封装订）：</w:t>
      </w:r>
    </w:p>
    <w:p>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eastAsia"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2、</w:t>
      </w:r>
      <w:r>
        <w:rPr>
          <w:rFonts w:hint="eastAsia" w:ascii="Times New Roman" w:hAnsi="Times New Roman" w:eastAsia="方正仿宋_GBK" w:cs="Times New Roman"/>
          <w:kern w:val="2"/>
          <w:sz w:val="28"/>
          <w:szCs w:val="28"/>
          <w:highlight w:val="none"/>
          <w:lang w:val="zh-CN" w:eastAsia="zh-CN" w:bidi="ar-SA"/>
        </w:rPr>
        <w:t>营业执照复印件（加盖公章）；</w:t>
      </w:r>
    </w:p>
    <w:p>
      <w:pPr>
        <w:pStyle w:val="29"/>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default" w:ascii="Times New Roman" w:hAnsi="Times New Roman" w:eastAsia="方正仿宋_GBK" w:cs="Times New Roman"/>
          <w:kern w:val="2"/>
          <w:sz w:val="28"/>
          <w:szCs w:val="28"/>
          <w:highlight w:val="none"/>
          <w:lang w:val="en-US" w:eastAsia="zh-CN" w:bidi="ar-SA"/>
        </w:rPr>
      </w:pPr>
      <w:r>
        <w:rPr>
          <w:rFonts w:hint="eastAsia" w:ascii="Times New Roman" w:hAnsi="Times New Roman" w:eastAsia="方正仿宋_GBK" w:cs="Times New Roman"/>
          <w:kern w:val="2"/>
          <w:sz w:val="28"/>
          <w:szCs w:val="28"/>
          <w:highlight w:val="none"/>
          <w:lang w:val="en-US" w:eastAsia="zh-CN" w:bidi="ar-SA"/>
        </w:rPr>
        <w:t>3、信用中国信用信息报告</w:t>
      </w:r>
      <w:r>
        <w:rPr>
          <w:rFonts w:hint="eastAsia" w:ascii="Times New Roman" w:hAnsi="Times New Roman" w:eastAsia="方正仿宋_GBK" w:cs="Times New Roman"/>
          <w:kern w:val="2"/>
          <w:sz w:val="28"/>
          <w:szCs w:val="28"/>
          <w:highlight w:val="none"/>
          <w:lang w:val="zh-CN" w:eastAsia="zh-CN" w:bidi="ar-SA"/>
        </w:rPr>
        <w:t>（加盖公章）；</w:t>
      </w:r>
    </w:p>
    <w:p>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4、</w:t>
      </w:r>
      <w:r>
        <w:rPr>
          <w:rFonts w:hint="eastAsia" w:ascii="Times New Roman" w:hAnsi="Times New Roman" w:eastAsia="方正仿宋_GBK" w:cs="Times New Roman"/>
          <w:kern w:val="2"/>
          <w:sz w:val="28"/>
          <w:szCs w:val="28"/>
          <w:highlight w:val="none"/>
          <w:lang w:val="zh-CN" w:eastAsia="zh-CN" w:bidi="ar-SA"/>
        </w:rPr>
        <w:t>投标承诺函（</w:t>
      </w:r>
      <w:r>
        <w:rPr>
          <w:rFonts w:hint="eastAsia" w:ascii="Times New Roman" w:hAnsi="Times New Roman" w:eastAsia="方正仿宋_GBK" w:cs="Times New Roman"/>
          <w:kern w:val="2"/>
          <w:sz w:val="28"/>
          <w:szCs w:val="28"/>
          <w:highlight w:val="none"/>
          <w:lang w:val="en-US" w:eastAsia="zh-CN" w:bidi="ar-SA"/>
        </w:rPr>
        <w:t>见附件一</w:t>
      </w:r>
      <w:r>
        <w:rPr>
          <w:rFonts w:hint="eastAsia" w:ascii="Times New Roman" w:hAnsi="Times New Roman" w:eastAsia="方正仿宋_GBK" w:cs="Times New Roman"/>
          <w:kern w:val="2"/>
          <w:sz w:val="28"/>
          <w:szCs w:val="28"/>
          <w:highlight w:val="none"/>
          <w:lang w:val="zh-CN" w:eastAsia="zh-CN" w:bidi="ar-SA"/>
        </w:rPr>
        <w:t>）；</w:t>
      </w:r>
    </w:p>
    <w:p>
      <w:pPr>
        <w:pStyle w:val="30"/>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5、响应方案，</w:t>
      </w:r>
      <w:r>
        <w:rPr>
          <w:rFonts w:hint="eastAsia" w:ascii="Times New Roman" w:hAnsi="Times New Roman" w:eastAsia="方正仿宋_GBK" w:cs="Times New Roman"/>
          <w:kern w:val="2"/>
          <w:sz w:val="28"/>
          <w:szCs w:val="28"/>
          <w:highlight w:val="none"/>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6</w:t>
      </w:r>
      <w:r>
        <w:rPr>
          <w:rFonts w:hint="eastAsia" w:ascii="Times New Roman" w:hAnsi="Times New Roman" w:eastAsia="方正仿宋_GBK" w:cs="Times New Roman"/>
          <w:kern w:val="2"/>
          <w:sz w:val="28"/>
          <w:szCs w:val="28"/>
          <w:highlight w:val="none"/>
          <w:lang w:val="zh-CN" w:eastAsia="zh-CN" w:bidi="ar-SA"/>
        </w:rPr>
        <w:t>、评标办法中未涉及的事项，投标人认为需要提交的其他资料。</w:t>
      </w:r>
    </w:p>
    <w:p>
      <w:pPr>
        <w:pStyle w:val="18"/>
        <w:keepNext w:val="0"/>
        <w:keepLines w:val="0"/>
        <w:pageBreakBefore w:val="0"/>
        <w:widowControl w:val="0"/>
        <w:kinsoku/>
        <w:wordWrap/>
        <w:overflowPunct/>
        <w:topLinePunct w:val="0"/>
        <w:bidi w:val="0"/>
        <w:spacing w:after="0" w:line="560" w:lineRule="exact"/>
        <w:ind w:left="0" w:leftChars="0" w:firstLine="281" w:firstLineChars="100"/>
        <w:textAlignment w:val="auto"/>
        <w:rPr>
          <w:rFonts w:hint="eastAsia" w:eastAsia="仿宋"/>
          <w:sz w:val="28"/>
          <w:szCs w:val="28"/>
          <w:highlight w:val="none"/>
          <w:lang w:eastAsia="zh-CN"/>
        </w:rPr>
      </w:pP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rPr>
        <w:t>价格响应文件</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单本</w:t>
      </w:r>
      <w:r>
        <w:rPr>
          <w:rFonts w:hint="eastAsia" w:ascii="仿宋" w:hAnsi="仿宋" w:eastAsia="仿宋" w:cs="仿宋"/>
          <w:b/>
          <w:sz w:val="28"/>
          <w:szCs w:val="28"/>
          <w:highlight w:val="none"/>
        </w:rPr>
        <w:t>单独密封装订</w:t>
      </w:r>
      <w:r>
        <w:rPr>
          <w:rFonts w:hint="eastAsia" w:ascii="仿宋" w:hAnsi="仿宋" w:eastAsia="仿宋" w:cs="仿宋"/>
          <w:b/>
          <w:sz w:val="28"/>
          <w:szCs w:val="28"/>
          <w:highlight w:val="none"/>
          <w:lang w:eastAsia="zh-CN"/>
        </w:rPr>
        <w:t>）</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1</w:t>
      </w:r>
      <w:r>
        <w:rPr>
          <w:rFonts w:hint="eastAsia" w:ascii="Times New Roman" w:hAnsi="Times New Roman" w:eastAsia="方正仿宋_GBK" w:cs="Times New Roman"/>
          <w:kern w:val="2"/>
          <w:sz w:val="28"/>
          <w:szCs w:val="28"/>
          <w:highlight w:val="none"/>
          <w:lang w:val="zh-CN" w:eastAsia="zh-CN" w:bidi="ar-SA"/>
        </w:rPr>
        <w:t>、</w:t>
      </w:r>
      <w:r>
        <w:rPr>
          <w:rFonts w:hint="eastAsia" w:ascii="Times New Roman" w:hAnsi="Times New Roman" w:eastAsia="方正仿宋_GBK" w:cs="Times New Roman"/>
          <w:kern w:val="2"/>
          <w:sz w:val="28"/>
          <w:szCs w:val="28"/>
          <w:highlight w:val="none"/>
          <w:lang w:val="en-US" w:eastAsia="zh-CN" w:bidi="ar-SA"/>
        </w:rPr>
        <w:t>分项</w:t>
      </w:r>
      <w:r>
        <w:rPr>
          <w:rFonts w:hint="eastAsia" w:ascii="Times New Roman" w:hAnsi="Times New Roman" w:eastAsia="方正仿宋_GBK" w:cs="Times New Roman"/>
          <w:kern w:val="2"/>
          <w:sz w:val="28"/>
          <w:szCs w:val="28"/>
          <w:highlight w:val="none"/>
          <w:lang w:val="zh-CN" w:eastAsia="zh-CN" w:bidi="ar-SA"/>
        </w:rPr>
        <w:t>明细报价</w:t>
      </w:r>
      <w:r>
        <w:rPr>
          <w:rFonts w:hint="eastAsia" w:ascii="Times New Roman" w:hAnsi="Times New Roman" w:eastAsia="方正仿宋_GBK" w:cs="Times New Roman"/>
          <w:kern w:val="2"/>
          <w:sz w:val="28"/>
          <w:szCs w:val="28"/>
          <w:highlight w:val="none"/>
          <w:lang w:val="en-US" w:eastAsia="zh-CN" w:bidi="ar-SA"/>
        </w:rPr>
        <w:t>表；</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32"/>
          <w:szCs w:val="32"/>
          <w:highlight w:val="none"/>
          <w:lang w:val="zh-CN" w:eastAsia="zh-CN" w:bidi="ar-SA"/>
        </w:rPr>
      </w:pPr>
      <w:r>
        <w:rPr>
          <w:rFonts w:hint="eastAsia" w:ascii="Times New Roman" w:hAnsi="Times New Roman" w:eastAsia="方正仿宋_GBK" w:cs="Times New Roman"/>
          <w:kern w:val="2"/>
          <w:sz w:val="28"/>
          <w:szCs w:val="28"/>
          <w:highlight w:val="none"/>
          <w:lang w:val="en-US" w:eastAsia="zh-CN" w:bidi="ar-SA"/>
        </w:rPr>
        <w:t>2</w:t>
      </w:r>
      <w:r>
        <w:rPr>
          <w:rFonts w:hint="eastAsia" w:ascii="Times New Roman" w:hAnsi="Times New Roman" w:eastAsia="方正仿宋_GBK" w:cs="Times New Roman"/>
          <w:kern w:val="2"/>
          <w:sz w:val="28"/>
          <w:szCs w:val="28"/>
          <w:highlight w:val="none"/>
          <w:lang w:val="zh-CN" w:eastAsia="zh-CN" w:bidi="ar-SA"/>
        </w:rPr>
        <w:t>、磋商响应报价表（见附件</w:t>
      </w:r>
      <w:r>
        <w:rPr>
          <w:rFonts w:hint="eastAsia" w:ascii="Times New Roman" w:hAnsi="Times New Roman" w:eastAsia="方正仿宋_GBK" w:cs="Times New Roman"/>
          <w:kern w:val="2"/>
          <w:sz w:val="28"/>
          <w:szCs w:val="28"/>
          <w:highlight w:val="none"/>
          <w:lang w:val="en-US" w:eastAsia="zh-CN" w:bidi="ar-SA"/>
        </w:rPr>
        <w:t>二</w:t>
      </w:r>
      <w:r>
        <w:rPr>
          <w:rFonts w:hint="eastAsia" w:ascii="Times New Roman" w:hAnsi="Times New Roman" w:eastAsia="方正仿宋_GBK" w:cs="Times New Roman"/>
          <w:kern w:val="2"/>
          <w:sz w:val="28"/>
          <w:szCs w:val="28"/>
          <w:highlight w:val="none"/>
          <w:lang w:val="zh-CN" w:eastAsia="zh-CN" w:bidi="ar-SA"/>
        </w:rPr>
        <w:t>）。</w:t>
      </w:r>
    </w:p>
    <w:p>
      <w:pPr>
        <w:pStyle w:val="18"/>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采用综合评分法</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zh-CN" w:eastAsia="zh-CN"/>
        </w:rPr>
        <w:t>按照供应商</w:t>
      </w:r>
      <w:r>
        <w:rPr>
          <w:rFonts w:hint="eastAsia" w:ascii="方正仿宋_GBK" w:hAnsi="方正仿宋_GBK" w:eastAsia="方正仿宋_GBK" w:cs="方正仿宋_GBK"/>
          <w:sz w:val="28"/>
          <w:szCs w:val="28"/>
          <w:highlight w:val="none"/>
          <w:lang w:val="en-US" w:eastAsia="zh-CN"/>
        </w:rPr>
        <w:t>提交的</w:t>
      </w:r>
      <w:r>
        <w:rPr>
          <w:rFonts w:hint="eastAsia" w:ascii="方正仿宋_GBK" w:hAnsi="方正仿宋_GBK" w:eastAsia="方正仿宋_GBK" w:cs="方正仿宋_GBK"/>
          <w:sz w:val="28"/>
          <w:szCs w:val="28"/>
          <w:highlight w:val="none"/>
        </w:rPr>
        <w:t>响应文件和最后报价进行综合评分</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最终得分最高的为第一成交候选人，在分数相同的情况下由采购人代表现场抽签确定成交候选人</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商务技术部分评审结束后，再开启最后报价计算分值。总分值为100分，加分和减分因素除外。</w:t>
      </w:r>
    </w:p>
    <w:p>
      <w:pPr>
        <w:keepNext w:val="0"/>
        <w:keepLines w:val="0"/>
        <w:pageBreakBefore w:val="0"/>
        <w:widowControl w:val="0"/>
        <w:kinsoku/>
        <w:wordWrap/>
        <w:overflowPunct/>
        <w:topLinePunct w:val="0"/>
        <w:bidi w:val="0"/>
        <w:snapToGrid w:val="0"/>
        <w:spacing w:line="560" w:lineRule="exact"/>
        <w:ind w:left="2" w:firstLine="562" w:firstLineChars="200"/>
        <w:jc w:val="left"/>
        <w:textAlignment w:val="auto"/>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zh-CN"/>
          <w14:textFill>
            <w14:solidFill>
              <w14:schemeClr w14:val="tx1"/>
            </w14:solidFill>
          </w14:textFill>
        </w:rPr>
        <w:t>商务技术分</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0</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分</w:t>
      </w:r>
    </w:p>
    <w:p>
      <w:pPr>
        <w:keepNext w:val="0"/>
        <w:keepLines w:val="0"/>
        <w:pageBreakBefore w:val="0"/>
        <w:widowControl w:val="0"/>
        <w:kinsoku/>
        <w:wordWrap/>
        <w:overflowPunct/>
        <w:topLinePunct w:val="0"/>
        <w:bidi w:val="0"/>
        <w:snapToGrid w:val="0"/>
        <w:spacing w:line="560" w:lineRule="exact"/>
        <w:contextualSpacing/>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各投标人得分为评委会成员评分的算术平均分，分值保留小数点后两位。</w:t>
      </w:r>
    </w:p>
    <w:tbl>
      <w:tblPr>
        <w:tblStyle w:val="1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99"/>
        <w:gridCol w:w="865"/>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123" w:type="dxa"/>
            <w:gridSpan w:val="2"/>
            <w:vAlign w:val="center"/>
          </w:tcPr>
          <w:p>
            <w:pPr>
              <w:spacing w:line="360" w:lineRule="exact"/>
              <w:jc w:val="center"/>
              <w:rPr>
                <w:rFonts w:ascii="Times New Roman" w:hAnsi="Times New Roman" w:eastAsia="方正仿宋_GBK" w:cs="Times New Roman"/>
                <w:b w:val="0"/>
                <w:bCs w:val="0"/>
                <w:kern w:val="0"/>
                <w:sz w:val="28"/>
                <w:szCs w:val="28"/>
                <w:highlight w:val="none"/>
              </w:rPr>
            </w:pPr>
            <w:r>
              <w:rPr>
                <w:rFonts w:hint="default" w:ascii="Times New Roman" w:hAnsi="Times New Roman" w:eastAsia="方正仿宋_GBK" w:cs="Times New Roman"/>
                <w:b w:val="0"/>
                <w:bCs w:val="0"/>
                <w:kern w:val="0"/>
                <w:sz w:val="28"/>
                <w:szCs w:val="28"/>
                <w:highlight w:val="none"/>
              </w:rPr>
              <w:t>评分项目</w:t>
            </w:r>
          </w:p>
        </w:tc>
        <w:tc>
          <w:tcPr>
            <w:tcW w:w="865" w:type="dxa"/>
            <w:vAlign w:val="center"/>
          </w:tcPr>
          <w:p>
            <w:pPr>
              <w:spacing w:line="360" w:lineRule="exact"/>
              <w:jc w:val="center"/>
              <w:rPr>
                <w:rFonts w:ascii="Times New Roman" w:hAnsi="Times New Roman" w:eastAsia="方正仿宋_GBK" w:cs="Times New Roman"/>
                <w:b w:val="0"/>
                <w:bCs w:val="0"/>
                <w:kern w:val="0"/>
                <w:sz w:val="28"/>
                <w:szCs w:val="28"/>
                <w:highlight w:val="none"/>
              </w:rPr>
            </w:pPr>
            <w:r>
              <w:rPr>
                <w:rFonts w:hint="default" w:ascii="Times New Roman" w:hAnsi="Times New Roman" w:eastAsia="方正仿宋_GBK" w:cs="Times New Roman"/>
                <w:b w:val="0"/>
                <w:bCs w:val="0"/>
                <w:kern w:val="0"/>
                <w:sz w:val="28"/>
                <w:szCs w:val="28"/>
                <w:highlight w:val="none"/>
              </w:rPr>
              <w:t>分数</w:t>
            </w:r>
          </w:p>
        </w:tc>
        <w:tc>
          <w:tcPr>
            <w:tcW w:w="6272" w:type="dxa"/>
            <w:vAlign w:val="center"/>
          </w:tcPr>
          <w:p>
            <w:pPr>
              <w:spacing w:line="360" w:lineRule="exact"/>
              <w:jc w:val="center"/>
              <w:rPr>
                <w:rFonts w:ascii="Times New Roman" w:hAnsi="Times New Roman" w:eastAsia="方正仿宋_GBK" w:cs="Times New Roman"/>
                <w:b w:val="0"/>
                <w:bCs w:val="0"/>
                <w:kern w:val="0"/>
                <w:sz w:val="28"/>
                <w:szCs w:val="28"/>
                <w:highlight w:val="none"/>
              </w:rPr>
            </w:pPr>
            <w:r>
              <w:rPr>
                <w:rFonts w:hint="default" w:ascii="Times New Roman" w:hAnsi="Times New Roman" w:eastAsia="方正仿宋_GBK" w:cs="Times New Roman"/>
                <w:b w:val="0"/>
                <w:bCs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24" w:type="dxa"/>
            <w:vMerge w:val="restart"/>
            <w:vAlign w:val="center"/>
          </w:tcPr>
          <w:p>
            <w:pPr>
              <w:spacing w:line="360" w:lineRule="exact"/>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商务部分（3</w:t>
            </w:r>
            <w:r>
              <w:rPr>
                <w:rFonts w:hint="eastAsia"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分）</w:t>
            </w: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人员配备</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eastAsia="zh-CN"/>
              </w:rPr>
              <w:t>1</w:t>
            </w:r>
            <w:r>
              <w:rPr>
                <w:rFonts w:hint="eastAsia" w:eastAsia="方正仿宋_GBK" w:cs="Times New Roman"/>
                <w:kern w:val="0"/>
                <w:sz w:val="28"/>
                <w:szCs w:val="28"/>
                <w:highlight w:val="none"/>
                <w:lang w:val="en-US" w:eastAsia="zh-CN"/>
              </w:rPr>
              <w:t>1</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hint="default"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1.投标人拟派项目经理具有高级工程师职称及</w:t>
            </w:r>
            <w:r>
              <w:rPr>
                <w:rFonts w:hint="eastAsia" w:eastAsia="方正仿宋_GBK"/>
                <w:kern w:val="0"/>
                <w:sz w:val="28"/>
                <w:szCs w:val="28"/>
                <w:highlight w:val="none"/>
                <w:lang w:val="en-US" w:eastAsia="zh-CN"/>
              </w:rPr>
              <w:t>信息系统项目管理师证书的得3分。</w:t>
            </w:r>
          </w:p>
          <w:p>
            <w:pPr>
              <w:widowControl/>
              <w:spacing w:line="240" w:lineRule="auto"/>
              <w:jc w:val="left"/>
              <w:rPr>
                <w:rFonts w:hint="eastAsia" w:eastAsia="方正仿宋_GBK" w:cs="Times New Roman"/>
                <w:kern w:val="0"/>
                <w:sz w:val="28"/>
                <w:szCs w:val="28"/>
                <w:highlight w:val="none"/>
                <w:lang w:val="en-US" w:eastAsia="zh-CN"/>
              </w:rPr>
            </w:pPr>
            <w:r>
              <w:rPr>
                <w:rFonts w:hint="eastAsia" w:eastAsia="方正仿宋_GBK" w:cs="Times New Roman"/>
                <w:kern w:val="0"/>
                <w:sz w:val="28"/>
                <w:szCs w:val="28"/>
                <w:highlight w:val="none"/>
                <w:lang w:eastAsia="zh-CN"/>
              </w:rPr>
              <w:t>2</w:t>
            </w:r>
            <w:r>
              <w:rPr>
                <w:rFonts w:hint="default" w:eastAsia="方正仿宋_GBK" w:cs="Times New Roman"/>
                <w:kern w:val="0"/>
                <w:sz w:val="28"/>
                <w:szCs w:val="28"/>
                <w:highlight w:val="none"/>
                <w:lang w:val="en-US" w:eastAsia="zh-CN"/>
              </w:rPr>
              <w:t>.投标人拟派技术负责人具有信息系统项目管理师证书、系统分析师证书的得3分；</w:t>
            </w:r>
          </w:p>
          <w:p>
            <w:pPr>
              <w:spacing w:line="360" w:lineRule="exact"/>
              <w:rPr>
                <w:rFonts w:hint="default"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.项目团</w:t>
            </w:r>
            <w:r>
              <w:rPr>
                <w:rFonts w:ascii="Times New Roman" w:hAnsi="Times New Roman" w:eastAsia="方正仿宋_GBK" w:cs="Times New Roman"/>
                <w:kern w:val="0"/>
                <w:sz w:val="28"/>
                <w:szCs w:val="28"/>
                <w:highlight w:val="none"/>
              </w:rPr>
              <w:t>队中</w:t>
            </w:r>
            <w:r>
              <w:rPr>
                <w:rFonts w:hint="default" w:ascii="Times New Roman" w:hAnsi="Times New Roman" w:eastAsia="方正仿宋_GBK" w:cs="Times New Roman"/>
                <w:kern w:val="0"/>
                <w:sz w:val="28"/>
                <w:szCs w:val="28"/>
                <w:highlight w:val="none"/>
                <w:lang w:val="en-US" w:eastAsia="zh-CN"/>
              </w:rPr>
              <w:t>项目</w:t>
            </w:r>
            <w:r>
              <w:rPr>
                <w:rFonts w:hint="eastAsia" w:ascii="Times New Roman" w:hAnsi="Times New Roman" w:eastAsia="方正仿宋_GBK" w:cs="Times New Roman"/>
                <w:kern w:val="0"/>
                <w:sz w:val="28"/>
                <w:szCs w:val="28"/>
                <w:highlight w:val="none"/>
                <w:lang w:val="en-US" w:eastAsia="zh-CN"/>
              </w:rPr>
              <w:t>成</w:t>
            </w:r>
            <w:r>
              <w:rPr>
                <w:rFonts w:ascii="Times New Roman" w:hAnsi="Times New Roman" w:eastAsia="方正仿宋_GBK" w:cs="Times New Roman"/>
                <w:kern w:val="0"/>
                <w:sz w:val="28"/>
                <w:szCs w:val="28"/>
                <w:highlight w:val="none"/>
              </w:rPr>
              <w:t>员</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rPr>
              <w:t>除项目经理和技术负责人</w:t>
            </w:r>
            <w:r>
              <w:rPr>
                <w:rFonts w:hint="default" w:ascii="Times New Roman" w:hAnsi="Times New Roman" w:eastAsia="方正仿宋_GBK" w:cs="Times New Roman"/>
                <w:kern w:val="0"/>
                <w:sz w:val="28"/>
                <w:szCs w:val="28"/>
                <w:highlight w:val="none"/>
                <w:lang w:eastAsia="zh-CN"/>
              </w:rPr>
              <w:t>）</w:t>
            </w:r>
            <w:r>
              <w:rPr>
                <w:rFonts w:ascii="Times New Roman" w:hAnsi="Times New Roman" w:eastAsia="方正仿宋_GBK" w:cs="Times New Roman"/>
                <w:kern w:val="0"/>
                <w:sz w:val="28"/>
                <w:szCs w:val="28"/>
                <w:highlight w:val="none"/>
              </w:rPr>
              <w:t>具有</w:t>
            </w:r>
            <w:r>
              <w:rPr>
                <w:rFonts w:hint="default" w:ascii="Times New Roman" w:hAnsi="Times New Roman" w:eastAsia="方正仿宋_GBK" w:cs="Times New Roman"/>
                <w:kern w:val="0"/>
                <w:sz w:val="28"/>
                <w:szCs w:val="28"/>
                <w:highlight w:val="none"/>
                <w:lang w:val="en-US" w:eastAsia="zh-CN"/>
              </w:rPr>
              <w:t>系统架构设计师、</w:t>
            </w:r>
            <w:r>
              <w:rPr>
                <w:rFonts w:hint="default" w:ascii="Times New Roman" w:hAnsi="Times New Roman" w:eastAsia="方正仿宋_GBK" w:cs="Times New Roman"/>
                <w:kern w:val="0"/>
                <w:sz w:val="28"/>
                <w:szCs w:val="28"/>
                <w:highlight w:val="none"/>
              </w:rPr>
              <w:t>软件设计师</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系统集成项目管理工程师</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数据库系统工程师</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高级网络信息安全工程师</w:t>
            </w:r>
            <w:r>
              <w:rPr>
                <w:rFonts w:hint="default" w:ascii="Times New Roman" w:hAnsi="Times New Roman" w:eastAsia="方正仿宋_GBK" w:cs="Times New Roman"/>
                <w:kern w:val="0"/>
                <w:sz w:val="28"/>
                <w:szCs w:val="28"/>
                <w:highlight w:val="none"/>
                <w:lang w:val="en-US" w:eastAsia="zh-CN"/>
              </w:rPr>
              <w:t>证书的</w:t>
            </w:r>
            <w:r>
              <w:rPr>
                <w:rFonts w:hint="default" w:ascii="Times New Roman" w:hAnsi="Times New Roman" w:eastAsia="方正仿宋_GBK" w:cs="Times New Roman"/>
                <w:kern w:val="0"/>
                <w:sz w:val="28"/>
                <w:szCs w:val="28"/>
                <w:highlight w:val="none"/>
              </w:rPr>
              <w:t>，每提供1个</w:t>
            </w:r>
            <w:r>
              <w:rPr>
                <w:rFonts w:ascii="Times New Roman" w:hAnsi="Times New Roman" w:eastAsia="方正仿宋_GBK" w:cs="Times New Roman"/>
                <w:kern w:val="0"/>
                <w:sz w:val="28"/>
                <w:szCs w:val="28"/>
                <w:highlight w:val="none"/>
              </w:rPr>
              <w:t>证书的得</w:t>
            </w:r>
            <w:r>
              <w:rPr>
                <w:rFonts w:hint="default" w:ascii="Times New Roman" w:hAnsi="Times New Roman" w:eastAsia="方正仿宋_GBK" w:cs="Times New Roman"/>
                <w:kern w:val="0"/>
                <w:sz w:val="28"/>
                <w:szCs w:val="28"/>
                <w:highlight w:val="none"/>
              </w:rPr>
              <w:t>一项得1分，满分</w:t>
            </w:r>
            <w:r>
              <w:rPr>
                <w:rFonts w:hint="eastAsia" w:eastAsia="方正仿宋_GBK" w:cs="Times New Roman"/>
                <w:kern w:val="0"/>
                <w:sz w:val="28"/>
                <w:szCs w:val="28"/>
                <w:highlight w:val="none"/>
                <w:lang w:val="en-US" w:eastAsia="zh-CN"/>
              </w:rPr>
              <w:t>5</w:t>
            </w:r>
            <w:r>
              <w:rPr>
                <w:rFonts w:hint="default" w:ascii="Times New Roman" w:hAnsi="Times New Roman" w:eastAsia="方正仿宋_GBK" w:cs="Times New Roman"/>
                <w:kern w:val="0"/>
                <w:sz w:val="28"/>
                <w:szCs w:val="28"/>
                <w:highlight w:val="none"/>
              </w:rPr>
              <w:t>分，未提供的不得分</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rPr>
              <w:t>同一类型不重复计分。</w:t>
            </w:r>
          </w:p>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注：上述项目经理、技术负责人、团队成员均要求提供相应证书（证明）原件扫描件及供应商为其缴纳的近三个月的社保证明复印件，未提供的不得分。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4" w:type="dxa"/>
            <w:vMerge w:val="continue"/>
            <w:vAlign w:val="center"/>
          </w:tcPr>
          <w:p>
            <w:pPr>
              <w:spacing w:line="360" w:lineRule="exact"/>
              <w:jc w:val="center"/>
              <w:rPr>
                <w:rFonts w:eastAsia="方正仿宋_GBK"/>
                <w:kern w:val="0"/>
                <w:sz w:val="28"/>
                <w:szCs w:val="28"/>
                <w:highlight w:val="none"/>
              </w:rPr>
            </w:pPr>
          </w:p>
        </w:tc>
        <w:tc>
          <w:tcPr>
            <w:tcW w:w="999" w:type="dxa"/>
            <w:vAlign w:val="center"/>
          </w:tcPr>
          <w:p>
            <w:pPr>
              <w:spacing w:line="259" w:lineRule="auto"/>
              <w:jc w:val="center"/>
              <w:rPr>
                <w:rFonts w:hint="default"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产品能力</w:t>
            </w:r>
          </w:p>
        </w:tc>
        <w:tc>
          <w:tcPr>
            <w:tcW w:w="865" w:type="dxa"/>
            <w:vAlign w:val="center"/>
          </w:tcPr>
          <w:p>
            <w:pPr>
              <w:spacing w:line="259" w:lineRule="auto"/>
              <w:jc w:val="center"/>
              <w:rPr>
                <w:rFonts w:hint="default"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4分</w:t>
            </w:r>
          </w:p>
        </w:tc>
        <w:tc>
          <w:tcPr>
            <w:tcW w:w="6272" w:type="dxa"/>
            <w:vAlign w:val="center"/>
          </w:tcPr>
          <w:p>
            <w:pPr>
              <w:keepNext w:val="0"/>
              <w:keepLines w:val="0"/>
              <w:widowControl/>
              <w:suppressLineNumbers w:val="0"/>
              <w:spacing w:line="360" w:lineRule="exact"/>
              <w:jc w:val="lef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bidi="ar"/>
              </w:rPr>
              <w:t>投标人具有工程建设项目联合审批、</w:t>
            </w:r>
            <w:r>
              <w:rPr>
                <w:rFonts w:hint="default" w:ascii="Times New Roman" w:hAnsi="Times New Roman" w:eastAsia="方正仿宋_GBK" w:cs="Times New Roman"/>
                <w:kern w:val="0"/>
                <w:sz w:val="28"/>
                <w:szCs w:val="28"/>
                <w:highlight w:val="none"/>
              </w:rPr>
              <w:t>工程建设项目事项管理</w:t>
            </w: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bidi="ar"/>
              </w:rPr>
              <w:t xml:space="preserve">工程建设项目验收管理、工程建设项目多测合一管理相关系统的软件著作权证书，每项得 1分，最高得4分。 </w:t>
            </w:r>
          </w:p>
          <w:p>
            <w:pPr>
              <w:pStyle w:val="2"/>
              <w:rPr>
                <w:rFonts w:hint="eastAsia"/>
                <w:highlight w:val="none"/>
                <w:lang w:eastAsia="zh-CN"/>
              </w:rPr>
            </w:pPr>
            <w:r>
              <w:rPr>
                <w:rFonts w:hint="default" w:ascii="Times New Roman" w:hAnsi="Times New Roman" w:eastAsia="方正仿宋_GBK" w:cs="Times New Roman"/>
                <w:kern w:val="0"/>
                <w:sz w:val="28"/>
                <w:szCs w:val="28"/>
                <w:highlight w:val="none"/>
              </w:rPr>
              <w:t>注：须提供上述相应证书原件扫描件制作于响应文件中。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4" w:type="dxa"/>
            <w:vMerge w:val="continue"/>
            <w:vAlign w:val="center"/>
          </w:tcPr>
          <w:p>
            <w:pPr>
              <w:spacing w:line="360" w:lineRule="exact"/>
              <w:jc w:val="center"/>
              <w:rPr>
                <w:rFonts w:eastAsia="方正仿宋_GBK"/>
                <w:kern w:val="0"/>
                <w:sz w:val="28"/>
                <w:szCs w:val="28"/>
                <w:highlight w:val="none"/>
              </w:rPr>
            </w:pP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类似项目业绩</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ascii="Times New Roman" w:hAnsi="Times New Roman" w:eastAsia="方正仿宋_GBK" w:cs="Times New Roman"/>
                <w:kern w:val="0"/>
                <w:sz w:val="28"/>
                <w:szCs w:val="28"/>
                <w:highlight w:val="none"/>
              </w:rPr>
              <w:t>1</w:t>
            </w:r>
            <w:r>
              <w:rPr>
                <w:rFonts w:hint="eastAsia" w:eastAsia="方正仿宋_GBK" w:cs="Times New Roman"/>
                <w:kern w:val="0"/>
                <w:sz w:val="28"/>
                <w:szCs w:val="28"/>
                <w:highlight w:val="none"/>
                <w:lang w:val="en-US" w:eastAsia="zh-CN"/>
              </w:rPr>
              <w:t>0</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投标人自开标截止之日起前三年投标人具有（以合同签订时间为准）已完成的工程建设项目审批</w:t>
            </w:r>
            <w:r>
              <w:rPr>
                <w:rFonts w:hint="eastAsia" w:eastAsia="方正仿宋_GBK" w:cs="Times New Roman"/>
                <w:kern w:val="0"/>
                <w:sz w:val="28"/>
                <w:szCs w:val="28"/>
                <w:highlight w:val="none"/>
                <w:lang w:val="en-US" w:eastAsia="zh-CN"/>
              </w:rPr>
              <w:t>管理</w:t>
            </w:r>
            <w:r>
              <w:rPr>
                <w:rFonts w:hint="default" w:ascii="Times New Roman" w:hAnsi="Times New Roman" w:eastAsia="方正仿宋_GBK" w:cs="Times New Roman"/>
                <w:kern w:val="0"/>
                <w:sz w:val="28"/>
                <w:szCs w:val="28"/>
                <w:highlight w:val="none"/>
              </w:rPr>
              <w:t>系统类相关项目业绩的，</w:t>
            </w:r>
            <w:r>
              <w:rPr>
                <w:rFonts w:ascii="Times New Roman" w:hAnsi="Times New Roman" w:eastAsia="方正仿宋_GBK" w:cs="Times New Roman"/>
                <w:kern w:val="0"/>
                <w:sz w:val="28"/>
                <w:szCs w:val="28"/>
                <w:highlight w:val="none"/>
              </w:rPr>
              <w:t>每提供一份业绩合同得2分</w:t>
            </w:r>
            <w:r>
              <w:rPr>
                <w:rFonts w:hint="default" w:ascii="Times New Roman" w:hAnsi="Times New Roman" w:eastAsia="方正仿宋_GBK" w:cs="Times New Roman"/>
                <w:kern w:val="0"/>
                <w:sz w:val="28"/>
                <w:szCs w:val="28"/>
                <w:highlight w:val="none"/>
              </w:rPr>
              <w:t>，最多得1</w:t>
            </w:r>
            <w:r>
              <w:rPr>
                <w:rFonts w:hint="eastAsia" w:ascii="Times New Roman" w:hAnsi="Times New Roman" w:eastAsia="方正仿宋_GBK" w:cs="Times New Roman"/>
                <w:kern w:val="0"/>
                <w:sz w:val="28"/>
                <w:szCs w:val="28"/>
                <w:highlight w:val="none"/>
                <w:lang w:val="en-US" w:eastAsia="zh-CN"/>
              </w:rPr>
              <w:t>0</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ascii="Times New Roman" w:hAnsi="Times New Roman" w:eastAsia="方正仿宋_GBK" w:cs="Times New Roman"/>
                <w:kern w:val="0"/>
                <w:sz w:val="28"/>
                <w:szCs w:val="28"/>
                <w:highlight w:val="none"/>
              </w:rPr>
              <w:t>注：</w:t>
            </w:r>
            <w:r>
              <w:rPr>
                <w:rFonts w:hint="default" w:ascii="Times New Roman" w:hAnsi="Times New Roman" w:eastAsia="方正仿宋_GBK" w:cs="Times New Roman"/>
                <w:kern w:val="0"/>
                <w:sz w:val="28"/>
                <w:szCs w:val="28"/>
                <w:highlight w:val="none"/>
              </w:rPr>
              <w:t>投标人必须提供项目合同或验收报告或专家验收意见，提供材料复印件或扫描件，未提供的不得分</w:t>
            </w:r>
            <w:r>
              <w:rPr>
                <w:rFonts w:ascii="Times New Roman" w:hAnsi="Times New Roman" w:eastAsia="方正仿宋_GBK" w:cs="Times New Roman"/>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24" w:type="dxa"/>
            <w:vMerge w:val="continue"/>
            <w:vAlign w:val="center"/>
          </w:tcPr>
          <w:p>
            <w:pPr>
              <w:spacing w:line="360" w:lineRule="exact"/>
              <w:jc w:val="center"/>
              <w:rPr>
                <w:rFonts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企业相关证书</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w:t>
            </w:r>
            <w:r>
              <w:rPr>
                <w:rFonts w:hint="eastAsia" w:eastAsia="方正仿宋_GBK" w:cs="Times New Roman"/>
                <w:kern w:val="0"/>
                <w:sz w:val="28"/>
                <w:szCs w:val="28"/>
                <w:highlight w:val="none"/>
                <w:lang w:val="en-US" w:eastAsia="zh-CN"/>
              </w:rPr>
              <w:t>0</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1.投标人通过ISO20000信息技术服务管理体系认证的，得2分；</w:t>
            </w:r>
          </w:p>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 投标人通过ISO27001信息安全管理体系认证的，得2分；</w:t>
            </w:r>
          </w:p>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3. 投标人通I</w:t>
            </w:r>
            <w:r>
              <w:rPr>
                <w:rFonts w:ascii="Times New Roman" w:hAnsi="Times New Roman" w:eastAsia="方正仿宋_GBK" w:cs="Times New Roman"/>
                <w:kern w:val="0"/>
                <w:sz w:val="28"/>
                <w:szCs w:val="28"/>
                <w:highlight w:val="none"/>
              </w:rPr>
              <w:t>S09001</w:t>
            </w:r>
            <w:r>
              <w:rPr>
                <w:rFonts w:hint="default" w:ascii="Times New Roman" w:hAnsi="Times New Roman" w:eastAsia="方正仿宋_GBK" w:cs="Times New Roman"/>
                <w:kern w:val="0"/>
                <w:sz w:val="28"/>
                <w:szCs w:val="28"/>
                <w:highlight w:val="none"/>
              </w:rPr>
              <w:t>质量</w:t>
            </w:r>
            <w:r>
              <w:rPr>
                <w:rFonts w:ascii="Times New Roman" w:hAnsi="Times New Roman" w:eastAsia="方正仿宋_GBK" w:cs="Times New Roman"/>
                <w:kern w:val="0"/>
                <w:sz w:val="28"/>
                <w:szCs w:val="28"/>
                <w:highlight w:val="none"/>
              </w:rPr>
              <w:t>管理体系认证的</w:t>
            </w:r>
            <w:r>
              <w:rPr>
                <w:rFonts w:hint="default" w:ascii="Times New Roman" w:hAnsi="Times New Roman" w:eastAsia="方正仿宋_GBK" w:cs="Times New Roman"/>
                <w:kern w:val="0"/>
                <w:sz w:val="28"/>
                <w:szCs w:val="28"/>
                <w:highlight w:val="none"/>
              </w:rPr>
              <w:t>得2分；</w:t>
            </w:r>
          </w:p>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4. 投标人通过ITSS（即信息技术服务运行维护服务能力成熟度）认证，能力达到</w:t>
            </w:r>
            <w:r>
              <w:rPr>
                <w:rFonts w:hint="default" w:ascii="Times New Roman" w:hAnsi="Times New Roman" w:eastAsia="方正仿宋_GBK" w:cs="Times New Roman"/>
                <w:kern w:val="0"/>
                <w:sz w:val="28"/>
                <w:szCs w:val="28"/>
                <w:highlight w:val="none"/>
                <w:lang w:val="en-US" w:eastAsia="zh-CN"/>
              </w:rPr>
              <w:t>三级</w:t>
            </w:r>
            <w:r>
              <w:rPr>
                <w:rFonts w:hint="default" w:ascii="Times New Roman" w:hAnsi="Times New Roman" w:eastAsia="方正仿宋_GBK" w:cs="Times New Roman"/>
                <w:kern w:val="0"/>
                <w:sz w:val="28"/>
                <w:szCs w:val="28"/>
                <w:highlight w:val="none"/>
              </w:rPr>
              <w:t>及以上的，得</w:t>
            </w:r>
            <w:r>
              <w:rPr>
                <w:rFonts w:hint="eastAsia"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rPr>
              <w:t>分；</w:t>
            </w:r>
          </w:p>
          <w:p>
            <w:pPr>
              <w:pStyle w:val="2"/>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5. 投标人通过CS（即信息系统建设和服务能力评估体系）认证，能力达到良好级（CS3）及以上的，得</w:t>
            </w:r>
            <w:r>
              <w:rPr>
                <w:rFonts w:hint="eastAsia" w:ascii="Times New Roman"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rPr>
              <w:t>分；未提供的不得分。</w:t>
            </w:r>
          </w:p>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注：须提供上述相应证书原件扫描件制作于响应文件中。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24" w:type="dxa"/>
            <w:vMerge w:val="restart"/>
            <w:vAlign w:val="center"/>
          </w:tcPr>
          <w:p>
            <w:pPr>
              <w:spacing w:line="360" w:lineRule="exact"/>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技术部分（</w:t>
            </w:r>
            <w:r>
              <w:rPr>
                <w:rFonts w:hint="eastAsia" w:eastAsia="方正仿宋_GBK" w:cs="Times New Roman"/>
                <w:kern w:val="0"/>
                <w:sz w:val="28"/>
                <w:szCs w:val="28"/>
                <w:highlight w:val="none"/>
                <w:lang w:val="en-US" w:eastAsia="zh-CN"/>
              </w:rPr>
              <w:t>45</w:t>
            </w:r>
            <w:r>
              <w:rPr>
                <w:rFonts w:hint="default" w:ascii="Times New Roman" w:hAnsi="Times New Roman" w:eastAsia="方正仿宋_GBK" w:cs="Times New Roman"/>
                <w:kern w:val="0"/>
                <w:sz w:val="28"/>
                <w:szCs w:val="28"/>
                <w:highlight w:val="none"/>
              </w:rPr>
              <w:t>分）</w:t>
            </w: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需求分析</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hint="eastAsia"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根据</w:t>
            </w:r>
            <w:r>
              <w:rPr>
                <w:rFonts w:hint="eastAsia" w:eastAsia="方正仿宋_GBK" w:cs="Times New Roman"/>
                <w:kern w:val="0"/>
                <w:sz w:val="28"/>
                <w:szCs w:val="28"/>
                <w:highlight w:val="none"/>
                <w:lang w:val="en-US" w:eastAsia="zh-CN"/>
              </w:rPr>
              <w:t>投标人提供项目需求的</w:t>
            </w:r>
            <w:r>
              <w:rPr>
                <w:rFonts w:hint="default" w:ascii="Times New Roman" w:hAnsi="Times New Roman" w:eastAsia="方正仿宋_GBK" w:cs="Times New Roman"/>
                <w:kern w:val="0"/>
                <w:sz w:val="28"/>
                <w:szCs w:val="28"/>
                <w:highlight w:val="none"/>
              </w:rPr>
              <w:t>进行</w:t>
            </w:r>
            <w:r>
              <w:rPr>
                <w:rFonts w:hint="eastAsia" w:ascii="Times New Roman" w:hAnsi="Times New Roman" w:eastAsia="方正仿宋_GBK" w:cs="Times New Roman"/>
                <w:kern w:val="0"/>
                <w:sz w:val="28"/>
                <w:szCs w:val="28"/>
                <w:highlight w:val="none"/>
                <w:lang w:val="en-US" w:eastAsia="zh-CN"/>
              </w:rPr>
              <w:t>评分</w:t>
            </w:r>
            <w:r>
              <w:rPr>
                <w:rFonts w:hint="eastAsia" w:ascii="Times New Roman" w:hAnsi="Times New Roman" w:eastAsia="方正仿宋_GBK" w:cs="Times New Roman"/>
                <w:kern w:val="0"/>
                <w:sz w:val="28"/>
                <w:szCs w:val="28"/>
                <w:highlight w:val="none"/>
                <w:lang w:eastAsia="zh-CN"/>
              </w:rPr>
              <w:t>；</w:t>
            </w:r>
          </w:p>
          <w:p>
            <w:pPr>
              <w:numPr>
                <w:ilvl w:val="0"/>
                <w:numId w:val="3"/>
              </w:numPr>
              <w:spacing w:line="360" w:lineRule="exac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方案分析详细完整、理解程度高的得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方案分析较详细完整、理解程度较高得</w:t>
            </w:r>
            <w:r>
              <w:rPr>
                <w:rFonts w:hint="eastAsia" w:ascii="Times New Roman" w:hAnsi="Times New Roman" w:eastAsia="方正仿宋_GBK" w:cs="Times New Roman"/>
                <w:kern w:val="0"/>
                <w:sz w:val="28"/>
                <w:szCs w:val="28"/>
                <w:highlight w:val="none"/>
                <w:lang w:val="en-US" w:eastAsia="zh-CN"/>
              </w:rPr>
              <w:t>3-</w:t>
            </w:r>
            <w:r>
              <w:rPr>
                <w:rFonts w:hint="eastAsia" w:eastAsia="方正仿宋_GBK" w:cs="Times New Roman"/>
                <w:kern w:val="0"/>
                <w:sz w:val="28"/>
                <w:szCs w:val="28"/>
                <w:highlight w:val="none"/>
                <w:lang w:val="en-US" w:eastAsia="zh-CN"/>
              </w:rPr>
              <w:t>4</w:t>
            </w:r>
            <w:r>
              <w:rPr>
                <w:rFonts w:hint="default" w:ascii="Times New Roman" w:hAnsi="Times New Roman" w:eastAsia="方正仿宋_GBK" w:cs="Times New Roman"/>
                <w:kern w:val="0"/>
                <w:sz w:val="28"/>
                <w:szCs w:val="28"/>
                <w:highlight w:val="none"/>
              </w:rPr>
              <w:t>分；</w:t>
            </w:r>
          </w:p>
          <w:p>
            <w:pPr>
              <w:numPr>
                <w:ilvl w:val="-1"/>
                <w:numId w:val="0"/>
              </w:numPr>
              <w:spacing w:line="360" w:lineRule="exact"/>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p>
          <w:p>
            <w:pPr>
              <w:numPr>
                <w:ilvl w:val="0"/>
                <w:numId w:val="0"/>
              </w:numPr>
              <w:spacing w:line="360" w:lineRule="exact"/>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（4）未提供</w:t>
            </w:r>
            <w:r>
              <w:rPr>
                <w:rFonts w:hint="default" w:ascii="Times New Roman" w:hAnsi="Times New Roman" w:eastAsia="方正仿宋_GBK" w:cs="Times New Roman"/>
                <w:kern w:val="0"/>
                <w:sz w:val="28"/>
                <w:szCs w:val="28"/>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124" w:type="dxa"/>
            <w:vMerge w:val="continue"/>
            <w:vAlign w:val="center"/>
          </w:tcPr>
          <w:p>
            <w:pPr>
              <w:spacing w:line="360" w:lineRule="exact"/>
              <w:jc w:val="center"/>
              <w:rPr>
                <w:rFonts w:hint="default"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hint="default"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总体</w:t>
            </w:r>
            <w:r>
              <w:rPr>
                <w:rFonts w:hint="default" w:ascii="Times New Roman" w:hAnsi="Times New Roman" w:eastAsia="方正仿宋_GBK" w:cs="Times New Roman"/>
                <w:kern w:val="0"/>
                <w:sz w:val="28"/>
                <w:szCs w:val="28"/>
                <w:highlight w:val="none"/>
              </w:rPr>
              <w:t>设计</w:t>
            </w:r>
          </w:p>
        </w:tc>
        <w:tc>
          <w:tcPr>
            <w:tcW w:w="865" w:type="dxa"/>
            <w:vAlign w:val="center"/>
          </w:tcPr>
          <w:p>
            <w:pPr>
              <w:spacing w:line="259" w:lineRule="auto"/>
              <w:jc w:val="center"/>
              <w:rPr>
                <w:rFonts w:hint="eastAsia" w:ascii="Times New Roman" w:hAnsi="Times New Roman"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hint="default"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根据投标人提供的项目总体方案综合评分；</w:t>
            </w:r>
          </w:p>
          <w:p>
            <w:pPr>
              <w:spacing w:line="360" w:lineRule="exact"/>
              <w:rPr>
                <w:rFonts w:hint="eastAsia"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 xml:space="preserve">（1）总体设计思路科学性和前瞻性强，系统架构设计科学合理，得 5-6分； </w:t>
            </w:r>
          </w:p>
          <w:p>
            <w:pPr>
              <w:spacing w:line="360" w:lineRule="exact"/>
              <w:rPr>
                <w:rFonts w:hint="eastAsia"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 xml:space="preserve">（2）总体设计思路科学性和前瞻性较强，系统架构设计较科学合理，得 3-4 分； </w:t>
            </w:r>
          </w:p>
          <w:p>
            <w:pPr>
              <w:spacing w:line="360" w:lineRule="exact"/>
              <w:rPr>
                <w:rFonts w:hint="eastAsia"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 xml:space="preserve">（3）总体设计思路能基本满足现有需求，系统架构设计基本可行，得 1-2 分； </w:t>
            </w:r>
          </w:p>
          <w:p>
            <w:pPr>
              <w:spacing w:line="360" w:lineRule="exact"/>
              <w:rPr>
                <w:rFonts w:hint="default"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（4）总体思路混乱，合理性和条理性差，内容陈旧，系统架构设计不合理或未提供的不得分。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124" w:type="dxa"/>
            <w:vMerge w:val="continue"/>
            <w:vAlign w:val="center"/>
          </w:tcPr>
          <w:p>
            <w:pPr>
              <w:spacing w:line="360" w:lineRule="exact"/>
              <w:jc w:val="center"/>
              <w:rPr>
                <w:rFonts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技术</w:t>
            </w:r>
            <w:r>
              <w:rPr>
                <w:rFonts w:hint="default" w:ascii="Times New Roman" w:hAnsi="Times New Roman" w:eastAsia="方正仿宋_GBK" w:cs="Times New Roman"/>
                <w:kern w:val="0"/>
                <w:sz w:val="28"/>
                <w:szCs w:val="28"/>
                <w:highlight w:val="none"/>
              </w:rPr>
              <w:t>方案</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13</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hint="eastAsia"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rPr>
              <w:t>正确理解项目建设内容要求，提供</w:t>
            </w:r>
            <w:r>
              <w:rPr>
                <w:rFonts w:hint="eastAsia" w:ascii="Times New Roman" w:hAnsi="Times New Roman" w:eastAsia="方正仿宋_GBK" w:cs="Times New Roman"/>
                <w:kern w:val="0"/>
                <w:sz w:val="28"/>
                <w:szCs w:val="28"/>
                <w:highlight w:val="none"/>
                <w:lang w:val="en-US" w:eastAsia="zh-CN"/>
              </w:rPr>
              <w:t>系统建设的</w:t>
            </w:r>
            <w:r>
              <w:rPr>
                <w:rFonts w:hint="default" w:ascii="Times New Roman" w:hAnsi="Times New Roman" w:eastAsia="方正仿宋_GBK" w:cs="Times New Roman"/>
                <w:kern w:val="0"/>
                <w:sz w:val="28"/>
                <w:szCs w:val="28"/>
                <w:highlight w:val="none"/>
              </w:rPr>
              <w:t>技术方案</w:t>
            </w: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包括</w:t>
            </w:r>
            <w:r>
              <w:rPr>
                <w:rFonts w:hint="default" w:ascii="Times New Roman" w:hAnsi="Times New Roman" w:eastAsia="方正仿宋_GBK" w:cs="Times New Roman"/>
                <w:kern w:val="0"/>
                <w:sz w:val="28"/>
                <w:szCs w:val="28"/>
                <w:highlight w:val="none"/>
                <w:lang w:val="en-US" w:eastAsia="zh-CN"/>
              </w:rPr>
              <w:t>低风险项目简易审批、市政公用服务报装、电子档案管理</w:t>
            </w:r>
            <w:r>
              <w:rPr>
                <w:rFonts w:hint="default" w:eastAsia="方正仿宋_GBK" w:cs="Times New Roman"/>
                <w:kern w:val="0"/>
                <w:sz w:val="28"/>
                <w:szCs w:val="28"/>
                <w:highlight w:val="none"/>
                <w:lang w:val="en-US" w:eastAsia="zh-CN"/>
              </w:rPr>
              <w:t>、系统对接及</w:t>
            </w:r>
            <w:r>
              <w:rPr>
                <w:rFonts w:hint="default" w:eastAsia="方正仿宋_GBK"/>
                <w:kern w:val="0"/>
                <w:sz w:val="28"/>
                <w:szCs w:val="28"/>
                <w:highlight w:val="none"/>
              </w:rPr>
              <w:t>工程建设项目租赁土地办理工程手续审批</w:t>
            </w:r>
            <w:r>
              <w:rPr>
                <w:rFonts w:hint="eastAsia" w:ascii="Times New Roman" w:hAnsi="Times New Roman" w:eastAsia="方正仿宋_GBK" w:cs="Times New Roman"/>
                <w:kern w:val="0"/>
                <w:sz w:val="28"/>
                <w:szCs w:val="28"/>
                <w:highlight w:val="none"/>
                <w:lang w:val="en-US" w:eastAsia="zh-CN"/>
              </w:rPr>
              <w:t>内容。</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val="en-US" w:eastAsia="zh-CN"/>
              </w:rPr>
              <w:t>（1）</w:t>
            </w:r>
            <w:r>
              <w:rPr>
                <w:rFonts w:hint="default" w:ascii="Times New Roman" w:hAnsi="Times New Roman" w:eastAsia="方正仿宋_GBK" w:cs="Times New Roman"/>
                <w:kern w:val="0"/>
                <w:sz w:val="28"/>
                <w:szCs w:val="28"/>
                <w:highlight w:val="none"/>
              </w:rPr>
              <w:t>技术方案内容非常具体详细，系统功能描述全面、图文并茂，完全符合建设内容要求得</w:t>
            </w:r>
            <w:r>
              <w:rPr>
                <w:rFonts w:hint="eastAsia" w:ascii="Times New Roman" w:hAnsi="Times New Roman" w:eastAsia="方正仿宋_GBK" w:cs="Times New Roman"/>
                <w:kern w:val="0"/>
                <w:sz w:val="28"/>
                <w:szCs w:val="28"/>
                <w:highlight w:val="none"/>
                <w:lang w:val="en-US" w:eastAsia="zh-CN"/>
              </w:rPr>
              <w:t>11-</w:t>
            </w:r>
            <w:r>
              <w:rPr>
                <w:rFonts w:hint="eastAsia" w:eastAsia="方正仿宋_GBK" w:cs="Times New Roman"/>
                <w:kern w:val="0"/>
                <w:sz w:val="28"/>
                <w:szCs w:val="28"/>
                <w:highlight w:val="none"/>
                <w:lang w:val="en-US" w:eastAsia="zh-CN"/>
              </w:rPr>
              <w:t>13</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技术方案内容较为具体详细，系统功能描述比较全面,有较为丰富的图文描述，较为符合建设内容要求得</w:t>
            </w:r>
            <w:r>
              <w:rPr>
                <w:rFonts w:hint="eastAsia" w:eastAsia="方正仿宋_GBK" w:cs="Times New Roman"/>
                <w:kern w:val="0"/>
                <w:sz w:val="28"/>
                <w:szCs w:val="28"/>
                <w:highlight w:val="none"/>
                <w:lang w:val="en-US" w:eastAsia="zh-CN"/>
              </w:rPr>
              <w:t>8-10</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技术方案内容一般，系统功能描述一般，图文描述一般，基本符合建设内容要求得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7</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4</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技术方案内容，系统功能描述，图文描述，建设内容较差的得</w:t>
            </w:r>
            <w:r>
              <w:rPr>
                <w:rFonts w:hint="eastAsia" w:ascii="Times New Roman" w:hAnsi="Times New Roman" w:eastAsia="方正仿宋_GBK" w:cs="Times New Roman"/>
                <w:kern w:val="0"/>
                <w:sz w:val="28"/>
                <w:szCs w:val="28"/>
                <w:highlight w:val="none"/>
                <w:lang w:val="en-US" w:eastAsia="zh-CN"/>
              </w:rPr>
              <w:t>1-4</w:t>
            </w:r>
            <w:r>
              <w:rPr>
                <w:rFonts w:hint="default" w:ascii="Times New Roman" w:hAnsi="Times New Roman" w:eastAsia="方正仿宋_GBK" w:cs="Times New Roman"/>
                <w:kern w:val="0"/>
                <w:sz w:val="28"/>
                <w:szCs w:val="28"/>
                <w:highlight w:val="none"/>
              </w:rPr>
              <w:t>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4" w:type="dxa"/>
            <w:vMerge w:val="continue"/>
            <w:vAlign w:val="center"/>
          </w:tcPr>
          <w:p>
            <w:pPr>
              <w:spacing w:line="360" w:lineRule="exact"/>
              <w:jc w:val="center"/>
              <w:rPr>
                <w:rFonts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hint="default"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实施方案</w:t>
            </w:r>
          </w:p>
        </w:tc>
        <w:tc>
          <w:tcPr>
            <w:tcW w:w="865" w:type="dxa"/>
            <w:vAlign w:val="center"/>
          </w:tcPr>
          <w:p>
            <w:pPr>
              <w:spacing w:line="259" w:lineRule="auto"/>
              <w:jc w:val="center"/>
              <w:rPr>
                <w:rFonts w:hint="default" w:eastAsia="方正仿宋_GBK" w:cs="Times New Roman"/>
                <w:kern w:val="0"/>
                <w:sz w:val="28"/>
                <w:szCs w:val="28"/>
                <w:highlight w:val="none"/>
                <w:lang w:val="en-US" w:eastAsia="zh-CN"/>
              </w:rPr>
            </w:pPr>
            <w:r>
              <w:rPr>
                <w:rFonts w:hint="eastAsia" w:eastAsia="方正仿宋_GBK" w:cs="Times New Roman"/>
                <w:kern w:val="0"/>
                <w:sz w:val="28"/>
                <w:szCs w:val="28"/>
                <w:highlight w:val="none"/>
                <w:lang w:val="en-US" w:eastAsia="zh-CN"/>
              </w:rPr>
              <w:t>8分</w:t>
            </w:r>
          </w:p>
        </w:tc>
        <w:tc>
          <w:tcPr>
            <w:tcW w:w="6272" w:type="dxa"/>
            <w:vAlign w:val="center"/>
          </w:tcPr>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根据投标人提供的项目实施方案综合评分：</w:t>
            </w:r>
          </w:p>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（1）方案合理，具备非常好的可行性得6-8分；</w:t>
            </w:r>
          </w:p>
          <w:p>
            <w:pPr>
              <w:spacing w:line="360" w:lineRule="exact"/>
              <w:rPr>
                <w:rFonts w:hint="eastAsia" w:ascii="Times New Roman" w:hAnsi="Times New Roman"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（2）方案一般，具备一般的可行性得3-5分；</w:t>
            </w:r>
          </w:p>
          <w:p>
            <w:pPr>
              <w:pStyle w:val="2"/>
              <w:rPr>
                <w:rFonts w:hint="eastAsia" w:eastAsia="方正仿宋_GBK"/>
                <w:highlight w:val="none"/>
                <w:lang w:val="en-US" w:eastAsia="zh-CN"/>
              </w:rPr>
            </w:pPr>
            <w:r>
              <w:rPr>
                <w:rFonts w:hint="eastAsia" w:ascii="Times New Roman" w:hAnsi="Times New Roman" w:eastAsia="方正仿宋_GBK" w:cs="Times New Roman"/>
                <w:kern w:val="0"/>
                <w:sz w:val="28"/>
                <w:szCs w:val="28"/>
                <w:highlight w:val="none"/>
                <w:lang w:val="en-US" w:eastAsia="zh-CN"/>
              </w:rPr>
              <w:t>（3）</w:t>
            </w:r>
            <w:r>
              <w:rPr>
                <w:rFonts w:hint="default" w:ascii="Times New Roman" w:hAnsi="Times New Roman" w:eastAsia="方正仿宋_GBK" w:cs="Times New Roman"/>
                <w:kern w:val="0"/>
                <w:sz w:val="28"/>
                <w:szCs w:val="28"/>
                <w:highlight w:val="none"/>
              </w:rPr>
              <w:t>较差的得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eastAsia="zh-CN"/>
              </w:rPr>
              <w:t>2</w:t>
            </w:r>
            <w:r>
              <w:rPr>
                <w:rFonts w:hint="default" w:ascii="Times New Roman" w:hAnsi="Times New Roman" w:eastAsia="方正仿宋_GBK" w:cs="Times New Roman"/>
                <w:kern w:val="0"/>
                <w:sz w:val="28"/>
                <w:szCs w:val="28"/>
                <w:highlight w:val="none"/>
              </w:rPr>
              <w:t>分</w:t>
            </w:r>
            <w:r>
              <w:rPr>
                <w:rFonts w:hint="eastAsia" w:ascii="Times New Roman" w:hAnsi="Times New Roman" w:eastAsia="方正仿宋_GBK" w:cs="Times New Roman"/>
                <w:kern w:val="0"/>
                <w:sz w:val="28"/>
                <w:szCs w:val="28"/>
                <w:highlight w:val="none"/>
                <w:lang w:eastAsia="zh-CN"/>
              </w:rPr>
              <w:t>；</w:t>
            </w:r>
          </w:p>
          <w:p>
            <w:pPr>
              <w:spacing w:line="360" w:lineRule="exact"/>
              <w:rPr>
                <w:rFonts w:hint="eastAsia" w:eastAsia="方正仿宋_GBK" w:cs="Times New Roman"/>
                <w:kern w:val="0"/>
                <w:sz w:val="28"/>
                <w:szCs w:val="28"/>
                <w:highlight w:val="none"/>
                <w:lang w:val="en-US" w:eastAsia="zh-CN"/>
              </w:rPr>
            </w:pPr>
            <w:r>
              <w:rPr>
                <w:rFonts w:hint="eastAsia" w:ascii="Times New Roman" w:hAnsi="Times New Roman" w:eastAsia="方正仿宋_GBK" w:cs="Times New Roman"/>
                <w:kern w:val="0"/>
                <w:sz w:val="28"/>
                <w:szCs w:val="28"/>
                <w:highlight w:val="none"/>
                <w:lang w:val="en-US" w:eastAsia="zh-CN"/>
              </w:rPr>
              <w:t>（4）方案相关内容缺失不得分。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4" w:type="dxa"/>
            <w:vMerge w:val="continue"/>
            <w:vAlign w:val="center"/>
          </w:tcPr>
          <w:p>
            <w:pPr>
              <w:spacing w:line="360" w:lineRule="exact"/>
              <w:jc w:val="center"/>
              <w:rPr>
                <w:rFonts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培训方案</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正确理解系统建成后，上线应用过程中的培训要求，提供包括具有针对性的培训方案。</w:t>
            </w:r>
          </w:p>
          <w:p>
            <w:pPr>
              <w:numPr>
                <w:ilvl w:val="0"/>
                <w:numId w:val="4"/>
              </w:numPr>
              <w:spacing w:line="360" w:lineRule="exac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合理分析明确培训对象，制定有针对性的培训方案和培训实施计划，提供有效措施保障培训效果的得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p>
            <w:pPr>
              <w:numPr>
                <w:ilvl w:val="0"/>
                <w:numId w:val="4"/>
              </w:numPr>
              <w:spacing w:line="360" w:lineRule="exact"/>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明确培训对象，制定较有针对性的培训方案和培训实施计划，提供相应措施保障培训效果的得</w:t>
            </w:r>
            <w:r>
              <w:rPr>
                <w:rFonts w:hint="eastAsia" w:ascii="Times New Roman" w:hAnsi="Times New Roman" w:eastAsia="方正仿宋_GBK" w:cs="Times New Roman"/>
                <w:kern w:val="0"/>
                <w:sz w:val="28"/>
                <w:szCs w:val="28"/>
                <w:highlight w:val="none"/>
                <w:lang w:val="en-US" w:eastAsia="zh-CN"/>
              </w:rPr>
              <w:t>3-4</w:t>
            </w:r>
            <w:r>
              <w:rPr>
                <w:rFonts w:hint="default" w:ascii="Times New Roman" w:hAnsi="Times New Roman" w:eastAsia="方正仿宋_GBK" w:cs="Times New Roman"/>
                <w:kern w:val="0"/>
                <w:sz w:val="28"/>
                <w:szCs w:val="28"/>
                <w:highlight w:val="none"/>
              </w:rPr>
              <w:t xml:space="preserve">分； </w:t>
            </w:r>
          </w:p>
          <w:p>
            <w:pPr>
              <w:numPr>
                <w:ilvl w:val="0"/>
                <w:numId w:val="4"/>
              </w:numPr>
              <w:spacing w:line="360" w:lineRule="exact"/>
              <w:ind w:left="0" w:leftChars="0" w:firstLine="0" w:firstLineChars="0"/>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明确培训对象，制定的培训方案和培训实施计划针对性一般，提供相应措施保障培训效果可行性差的得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rPr>
              <w:t>分；</w:t>
            </w:r>
          </w:p>
          <w:p>
            <w:pPr>
              <w:numPr>
                <w:ilvl w:val="0"/>
                <w:numId w:val="4"/>
              </w:numPr>
              <w:spacing w:line="360" w:lineRule="exact"/>
              <w:ind w:left="0" w:leftChars="0" w:firstLine="0" w:firstLineChars="0"/>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未提供</w:t>
            </w:r>
            <w:r>
              <w:rPr>
                <w:rFonts w:hint="default" w:ascii="Times New Roman" w:hAnsi="Times New Roman" w:eastAsia="方正仿宋_GBK" w:cs="Times New Roman"/>
                <w:kern w:val="0"/>
                <w:sz w:val="28"/>
                <w:szCs w:val="28"/>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124" w:type="dxa"/>
            <w:vMerge w:val="continue"/>
            <w:vAlign w:val="center"/>
          </w:tcPr>
          <w:p>
            <w:pPr>
              <w:spacing w:line="360" w:lineRule="exact"/>
              <w:jc w:val="center"/>
              <w:rPr>
                <w:rFonts w:ascii="Times New Roman" w:hAnsi="Times New Roman" w:eastAsia="方正仿宋_GBK" w:cs="Times New Roman"/>
                <w:kern w:val="0"/>
                <w:sz w:val="28"/>
                <w:szCs w:val="28"/>
                <w:highlight w:val="none"/>
              </w:rPr>
            </w:pPr>
          </w:p>
        </w:tc>
        <w:tc>
          <w:tcPr>
            <w:tcW w:w="999" w:type="dxa"/>
            <w:vAlign w:val="center"/>
          </w:tcPr>
          <w:p>
            <w:pPr>
              <w:spacing w:line="259" w:lineRule="auto"/>
              <w:jc w:val="center"/>
              <w:rPr>
                <w:rFonts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售后服务方案</w:t>
            </w:r>
          </w:p>
        </w:tc>
        <w:tc>
          <w:tcPr>
            <w:tcW w:w="865" w:type="dxa"/>
            <w:vAlign w:val="center"/>
          </w:tcPr>
          <w:p>
            <w:pPr>
              <w:spacing w:line="259" w:lineRule="auto"/>
              <w:jc w:val="center"/>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tc>
        <w:tc>
          <w:tcPr>
            <w:tcW w:w="6272" w:type="dxa"/>
            <w:vAlign w:val="center"/>
          </w:tcPr>
          <w:p>
            <w:pPr>
              <w:spacing w:line="360" w:lineRule="exact"/>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根据各供应商针对本项目提供的售后服务内容、售后服务机制、人员组织保障、故障响应速度、应急响应速度等售后服务方案的合理性、可操作性和具体程度等进行综合评审</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 xml:space="preserve"> </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1</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方案详细，合理，可行性高得</w:t>
            </w:r>
            <w:r>
              <w:rPr>
                <w:rFonts w:hint="eastAsia" w:ascii="Times New Roman" w:hAnsi="Times New Roman" w:eastAsia="方正仿宋_GBK" w:cs="Times New Roman"/>
                <w:kern w:val="0"/>
                <w:sz w:val="28"/>
                <w:szCs w:val="28"/>
                <w:highlight w:val="none"/>
                <w:lang w:val="en-US" w:eastAsia="zh-CN"/>
              </w:rPr>
              <w:t>5-</w:t>
            </w:r>
            <w:r>
              <w:rPr>
                <w:rFonts w:hint="eastAsia" w:eastAsia="方正仿宋_GBK" w:cs="Times New Roman"/>
                <w:kern w:val="0"/>
                <w:sz w:val="28"/>
                <w:szCs w:val="28"/>
                <w:highlight w:val="none"/>
                <w:lang w:val="en-US" w:eastAsia="zh-CN"/>
              </w:rPr>
              <w:t>6</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2</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方案较详细，较合理，可行性较低得</w:t>
            </w:r>
            <w:r>
              <w:rPr>
                <w:rFonts w:hint="eastAsia" w:ascii="Times New Roman" w:hAnsi="Times New Roman" w:eastAsia="方正仿宋_GBK" w:cs="Times New Roman"/>
                <w:kern w:val="0"/>
                <w:sz w:val="28"/>
                <w:szCs w:val="28"/>
                <w:highlight w:val="none"/>
                <w:lang w:val="en-US" w:eastAsia="zh-CN"/>
              </w:rPr>
              <w:t>3-</w:t>
            </w:r>
            <w:r>
              <w:rPr>
                <w:rFonts w:hint="eastAsia" w:eastAsia="方正仿宋_GBK" w:cs="Times New Roman"/>
                <w:kern w:val="0"/>
                <w:sz w:val="28"/>
                <w:szCs w:val="28"/>
                <w:highlight w:val="none"/>
                <w:lang w:val="en-US" w:eastAsia="zh-CN"/>
              </w:rPr>
              <w:t>4</w:t>
            </w:r>
            <w:r>
              <w:rPr>
                <w:rFonts w:hint="default" w:ascii="Times New Roman" w:hAnsi="Times New Roman" w:eastAsia="方正仿宋_GBK" w:cs="Times New Roman"/>
                <w:kern w:val="0"/>
                <w:sz w:val="28"/>
                <w:szCs w:val="28"/>
                <w:highlight w:val="none"/>
              </w:rPr>
              <w:t>分；</w:t>
            </w:r>
          </w:p>
          <w:p>
            <w:pPr>
              <w:spacing w:line="360" w:lineRule="exact"/>
              <w:rPr>
                <w:rFonts w:ascii="Times New Roman" w:hAnsi="Times New Roman" w:eastAsia="方正仿宋_GBK" w:cs="Times New Roman"/>
                <w:kern w:val="0"/>
                <w:sz w:val="28"/>
                <w:szCs w:val="28"/>
                <w:highlight w:val="none"/>
              </w:rPr>
            </w:pPr>
            <w:r>
              <w:rPr>
                <w:rFonts w:hint="eastAsia" w:ascii="Times New Roman" w:hAnsi="Times New Roman" w:eastAsia="方正仿宋_GBK" w:cs="Times New Roman"/>
                <w:kern w:val="0"/>
                <w:sz w:val="28"/>
                <w:szCs w:val="28"/>
                <w:highlight w:val="none"/>
                <w:lang w:eastAsia="zh-CN"/>
              </w:rPr>
              <w:t>（</w:t>
            </w:r>
            <w:r>
              <w:rPr>
                <w:rFonts w:hint="eastAsia" w:ascii="Times New Roman" w:hAnsi="Times New Roman" w:eastAsia="方正仿宋_GBK" w:cs="Times New Roman"/>
                <w:kern w:val="0"/>
                <w:sz w:val="28"/>
                <w:szCs w:val="28"/>
                <w:highlight w:val="none"/>
                <w:lang w:val="en-US" w:eastAsia="zh-CN"/>
              </w:rPr>
              <w:t>3</w:t>
            </w:r>
            <w:r>
              <w:rPr>
                <w:rFonts w:hint="eastAsia"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rPr>
              <w:t>方案不够详细,合理性较差，可行性低得</w:t>
            </w:r>
            <w:r>
              <w:rPr>
                <w:rFonts w:hint="eastAsia" w:ascii="Times New Roman" w:hAnsi="Times New Roman" w:eastAsia="方正仿宋_GBK" w:cs="Times New Roman"/>
                <w:kern w:val="0"/>
                <w:sz w:val="28"/>
                <w:szCs w:val="28"/>
                <w:highlight w:val="none"/>
                <w:lang w:val="en-US" w:eastAsia="zh-CN"/>
              </w:rPr>
              <w:t>1-</w:t>
            </w:r>
            <w:r>
              <w:rPr>
                <w:rFonts w:hint="eastAsia"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rPr>
              <w:t xml:space="preserve">分； </w:t>
            </w:r>
          </w:p>
          <w:p>
            <w:pPr>
              <w:spacing w:line="360" w:lineRule="exact"/>
              <w:rPr>
                <w:rFonts w:ascii="Times New Roman" w:hAnsi="Times New Roman" w:eastAsia="方正仿宋_GBK" w:cs="Times New Roman"/>
                <w:kern w:val="0"/>
                <w:sz w:val="28"/>
                <w:szCs w:val="28"/>
                <w:highlight w:val="none"/>
              </w:rPr>
            </w:pPr>
            <w:r>
              <w:rPr>
                <w:rFonts w:hint="eastAsia" w:eastAsia="方正仿宋_GBK" w:cs="Times New Roman"/>
                <w:kern w:val="0"/>
                <w:sz w:val="28"/>
                <w:szCs w:val="28"/>
                <w:highlight w:val="none"/>
                <w:lang w:val="en-US" w:eastAsia="zh-CN"/>
              </w:rPr>
              <w:t>（4）未提供</w:t>
            </w:r>
            <w:r>
              <w:rPr>
                <w:rFonts w:hint="default" w:ascii="Times New Roman" w:hAnsi="Times New Roman" w:eastAsia="方正仿宋_GBK" w:cs="Times New Roman"/>
                <w:kern w:val="0"/>
                <w:sz w:val="28"/>
                <w:szCs w:val="28"/>
                <w:highlight w:val="none"/>
              </w:rPr>
              <w:t>不得分。</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b/>
          <w:color w:val="000000" w:themeColor="text1"/>
          <w:sz w:val="28"/>
          <w:szCs w:val="28"/>
          <w:highlight w:val="none"/>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themeColor="text1"/>
          <w:sz w:val="28"/>
          <w:szCs w:val="28"/>
          <w:highlight w:val="none"/>
          <w:lang w:val="zh-CN"/>
          <w14:textFill>
            <w14:solidFill>
              <w14:schemeClr w14:val="tx1"/>
            </w14:solidFill>
          </w14:textFill>
        </w:rPr>
        <w:t>价格分</w:t>
      </w:r>
      <w:r>
        <w:rPr>
          <w:rFonts w:hint="eastAsia" w:ascii="方正仿宋_GBK" w:hAnsi="方正仿宋_GBK" w:eastAsia="方正仿宋_GBK" w:cs="方正仿宋_GBK"/>
          <w:b/>
          <w:color w:val="000000" w:themeColor="text1"/>
          <w:sz w:val="28"/>
          <w:szCs w:val="28"/>
          <w:highlight w:val="none"/>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0</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价格标评标基准分为</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0分，满足招标文件要求且投标价格最低的投标报价为评标基准价，其价格分为满分（</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0分），其他投标人的价格分统一按照下列公式计算：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投标报价得分=(投标基准价／最后投标报价)×</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0×100%。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highlight w:val="none"/>
        </w:rPr>
      </w:pPr>
    </w:p>
    <w:p>
      <w:pPr>
        <w:pStyle w:val="18"/>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pPr>
    </w:p>
    <w:p>
      <w:pPr>
        <w:pStyle w:val="29"/>
        <w:keepNext w:val="0"/>
        <w:keepLines w:val="0"/>
        <w:pageBreakBefore w:val="0"/>
        <w:widowControl w:val="0"/>
        <w:tabs>
          <w:tab w:val="left" w:pos="5325"/>
        </w:tabs>
        <w:kinsoku/>
        <w:wordWrap/>
        <w:overflowPunct/>
        <w:topLinePunct w:val="0"/>
        <w:bidi w:val="0"/>
        <w:snapToGrid w:val="0"/>
        <w:spacing w:line="560" w:lineRule="exact"/>
        <w:ind w:left="641" w:firstLine="0" w:firstLineChars="0"/>
        <w:contextualSpacing/>
        <w:textAlignment w:val="auto"/>
        <w:rPr>
          <w:rFonts w:hint="eastAsia" w:ascii="黑体" w:hAnsi="黑体" w:eastAsia="黑体" w:cs="Times New Roman"/>
          <w:sz w:val="32"/>
          <w:szCs w:val="32"/>
          <w:highlight w:val="none"/>
        </w:rPr>
      </w:pPr>
    </w:p>
    <w:p>
      <w:pPr>
        <w:pStyle w:val="18"/>
        <w:keepNext w:val="0"/>
        <w:keepLines w:val="0"/>
        <w:pageBreakBefore w:val="0"/>
        <w:widowControl w:val="0"/>
        <w:kinsoku/>
        <w:wordWrap/>
        <w:overflowPunct/>
        <w:topLinePunct w:val="0"/>
        <w:bidi w:val="0"/>
        <w:spacing w:after="0" w:line="560" w:lineRule="exact"/>
        <w:ind w:left="0" w:leftChars="0" w:firstLine="0" w:firstLineChars="0"/>
        <w:textAlignment w:val="auto"/>
        <w:rPr>
          <w:highlight w:val="none"/>
        </w:rPr>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wordWrap/>
        <w:overflowPunct/>
        <w:bidi w:val="0"/>
        <w:spacing w:line="240" w:lineRule="auto"/>
        <w:rPr>
          <w:rFonts w:ascii="宋体" w:hAnsi="Calibri" w:eastAsia="宋体" w:cs="Times New Roman"/>
          <w:b/>
          <w:bCs/>
          <w:sz w:val="24"/>
          <w:szCs w:val="24"/>
          <w:highlight w:val="none"/>
        </w:rPr>
      </w:pPr>
      <w:r>
        <w:rPr>
          <w:rFonts w:ascii="宋体"/>
          <w:b/>
          <w:bCs/>
          <w:sz w:val="24"/>
          <w:szCs w:val="24"/>
          <w:highlight w:val="none"/>
        </w:rPr>
        <w:t>附件</w:t>
      </w:r>
      <w:r>
        <w:rPr>
          <w:rFonts w:hint="eastAsia" w:ascii="宋体"/>
          <w:b/>
          <w:bCs/>
          <w:sz w:val="24"/>
          <w:szCs w:val="24"/>
          <w:highlight w:val="none"/>
          <w:lang w:val="en-US" w:eastAsia="zh-CN"/>
        </w:rPr>
        <w:t>1</w:t>
      </w:r>
      <w:r>
        <w:rPr>
          <w:rFonts w:hint="eastAsia" w:ascii="宋体"/>
          <w:b/>
          <w:bCs/>
          <w:sz w:val="24"/>
          <w:szCs w:val="24"/>
          <w:highlight w:val="none"/>
        </w:rPr>
        <w:t>：</w:t>
      </w:r>
    </w:p>
    <w:p>
      <w:pPr>
        <w:keepNext w:val="0"/>
        <w:keepLines w:val="0"/>
        <w:pageBreakBefore w:val="0"/>
        <w:wordWrap/>
        <w:overflowPunct/>
        <w:bidi w:val="0"/>
        <w:spacing w:line="240" w:lineRule="auto"/>
        <w:rPr>
          <w:rFonts w:ascii="宋体" w:hAnsi="Calibri" w:eastAsia="宋体" w:cs="Times New Roman"/>
          <w:sz w:val="24"/>
          <w:highlight w:val="none"/>
        </w:rPr>
      </w:pPr>
    </w:p>
    <w:p>
      <w:pPr>
        <w:keepNext w:val="0"/>
        <w:keepLines w:val="0"/>
        <w:pageBreakBefore w:val="0"/>
        <w:wordWrap/>
        <w:overflowPunct/>
        <w:bidi w:val="0"/>
        <w:spacing w:line="240" w:lineRule="auto"/>
        <w:jc w:val="center"/>
        <w:rPr>
          <w:rFonts w:hint="eastAsia" w:ascii="宋体" w:hAnsi="宋体" w:eastAsia="宋体" w:cs="Times New Roman"/>
          <w:b/>
          <w:bCs/>
          <w:sz w:val="36"/>
          <w:szCs w:val="36"/>
          <w:highlight w:val="none"/>
        </w:rPr>
      </w:pPr>
      <w:r>
        <w:rPr>
          <w:rFonts w:hint="eastAsia" w:ascii="宋体" w:hAnsi="宋体" w:eastAsia="宋体" w:cs="Times New Roman"/>
          <w:b/>
          <w:bCs/>
          <w:sz w:val="44"/>
          <w:szCs w:val="44"/>
          <w:highlight w:val="none"/>
          <w:lang w:val="zh-CN" w:eastAsia="zh-CN"/>
        </w:rPr>
        <w:t>投标承诺函</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南通市行政审批局：</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我单位</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（供应商名称）郑重承诺：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sz w:val="32"/>
          <w:szCs w:val="32"/>
          <w:highlight w:val="none"/>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20" w:lineRule="exact"/>
        <w:ind w:firstLine="56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2"/>
          <w:sz w:val="32"/>
          <w:szCs w:val="32"/>
          <w:highlight w:val="none"/>
          <w:lang w:val="en-US" w:eastAsia="zh-CN" w:bidi="ar-SA"/>
        </w:rPr>
        <w:t>贵方组织的</w:t>
      </w:r>
      <w:r>
        <w:rPr>
          <w:rFonts w:hint="eastAsia" w:ascii="方正仿宋_GBK" w:hAnsi="方正仿宋_GBK" w:eastAsia="方正仿宋_GBK" w:cs="方正仿宋_GBK"/>
          <w:sz w:val="32"/>
          <w:szCs w:val="32"/>
          <w:highlight w:val="none"/>
        </w:rPr>
        <w:t>南通市</w:t>
      </w:r>
      <w:r>
        <w:rPr>
          <w:rFonts w:hint="eastAsia" w:ascii="方正仿宋_GBK" w:hAnsi="方正仿宋_GBK" w:eastAsia="方正仿宋_GBK" w:cs="方正仿宋_GBK"/>
          <w:sz w:val="32"/>
          <w:szCs w:val="32"/>
          <w:highlight w:val="none"/>
          <w:lang w:val="en-US" w:eastAsia="zh-CN"/>
        </w:rPr>
        <w:t>工程建设项目审批管理系统</w:t>
      </w:r>
      <w:r>
        <w:rPr>
          <w:rFonts w:hint="eastAsia" w:ascii="方正仿宋_GBK" w:hAnsi="方正仿宋_GBK" w:eastAsia="方正仿宋_GBK" w:cs="方正仿宋_GBK"/>
          <w:sz w:val="32"/>
          <w:szCs w:val="32"/>
          <w:highlight w:val="none"/>
        </w:rPr>
        <w:t>功能完善项目</w:t>
      </w:r>
      <w:r>
        <w:rPr>
          <w:rFonts w:hint="eastAsia" w:ascii="Times New Roman" w:hAnsi="Times New Roman" w:eastAsia="方正仿宋_GBK" w:cs="Times New Roman"/>
          <w:sz w:val="32"/>
          <w:szCs w:val="32"/>
          <w:highlight w:val="none"/>
          <w:lang w:val="en-US" w:eastAsia="zh-CN"/>
        </w:rPr>
        <w:t>，我</w:t>
      </w:r>
      <w:r>
        <w:rPr>
          <w:rFonts w:hint="eastAsia" w:ascii="方正仿宋_GBK" w:hAnsi="方正仿宋_GBK" w:eastAsia="方正仿宋_GBK" w:cs="方正仿宋_GBK"/>
          <w:sz w:val="32"/>
          <w:szCs w:val="32"/>
          <w:highlight w:val="none"/>
        </w:rPr>
        <w:t>单位所提交的材料均为真实的，且能提供满足供应要求的服务内容。</w:t>
      </w:r>
    </w:p>
    <w:p>
      <w:pPr>
        <w:pStyle w:val="18"/>
        <w:keepNext w:val="0"/>
        <w:keepLines w:val="0"/>
        <w:pageBreakBefore w:val="0"/>
        <w:wordWrap/>
        <w:overflowPunct/>
        <w:bidi w:val="0"/>
        <w:spacing w:after="0" w:line="240" w:lineRule="auto"/>
        <w:rPr>
          <w:rFonts w:hint="eastAsia" w:ascii="方正仿宋_GBK" w:hAnsi="方正仿宋_GBK" w:eastAsia="方正仿宋_GBK" w:cs="方正仿宋_GBK"/>
          <w:sz w:val="32"/>
          <w:szCs w:val="32"/>
          <w:highlight w:val="none"/>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highlight w:val="none"/>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highlight w:val="none"/>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承诺人：（公章）</w:t>
      </w: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年    月   日</w:t>
      </w:r>
    </w:p>
    <w:p>
      <w:pPr>
        <w:pStyle w:val="18"/>
        <w:rPr>
          <w:rFonts w:hint="eastAsia" w:ascii="方正仿宋_GBK" w:hAnsi="方正仿宋_GBK" w:eastAsia="方正仿宋_GBK" w:cs="方正仿宋_GBK"/>
          <w:sz w:val="32"/>
          <w:szCs w:val="32"/>
          <w:highlight w:val="none"/>
        </w:rPr>
      </w:pPr>
    </w:p>
    <w:p>
      <w:pPr>
        <w:pStyle w:val="18"/>
        <w:rPr>
          <w:rFonts w:hint="eastAsia" w:ascii="方正仿宋_GBK" w:hAnsi="方正仿宋_GBK" w:eastAsia="方正仿宋_GBK" w:cs="方正仿宋_GBK"/>
          <w:sz w:val="32"/>
          <w:szCs w:val="32"/>
          <w:highlight w:val="none"/>
        </w:rPr>
      </w:pPr>
    </w:p>
    <w:p>
      <w:pPr>
        <w:pStyle w:val="18"/>
        <w:rPr>
          <w:rFonts w:hint="eastAsia" w:ascii="方正仿宋_GBK" w:hAnsi="方正仿宋_GBK" w:eastAsia="方正仿宋_GBK" w:cs="方正仿宋_GBK"/>
          <w:sz w:val="32"/>
          <w:szCs w:val="32"/>
          <w:highlight w:val="none"/>
        </w:rPr>
      </w:pPr>
    </w:p>
    <w:p>
      <w:pPr>
        <w:pStyle w:val="18"/>
        <w:rPr>
          <w:rFonts w:hint="eastAsia" w:ascii="方正仿宋_GBK" w:hAnsi="方正仿宋_GBK" w:eastAsia="方正仿宋_GBK" w:cs="方正仿宋_GBK"/>
          <w:sz w:val="32"/>
          <w:szCs w:val="32"/>
          <w:highlight w:val="none"/>
        </w:rPr>
      </w:pPr>
    </w:p>
    <w:p>
      <w:pPr>
        <w:pStyle w:val="18"/>
        <w:rPr>
          <w:rFonts w:hint="eastAsia" w:ascii="方正仿宋_GBK" w:hAnsi="方正仿宋_GBK" w:eastAsia="方正仿宋_GBK" w:cs="方正仿宋_GBK"/>
          <w:sz w:val="32"/>
          <w:szCs w:val="32"/>
          <w:highlight w:val="none"/>
        </w:rPr>
      </w:pPr>
    </w:p>
    <w:p>
      <w:pPr>
        <w:keepNext w:val="0"/>
        <w:keepLines w:val="0"/>
        <w:pageBreakBefore w:val="0"/>
        <w:wordWrap/>
        <w:overflowPunct/>
        <w:bidi w:val="0"/>
        <w:spacing w:line="240" w:lineRule="auto"/>
        <w:rPr>
          <w:rFonts w:ascii="宋体"/>
          <w:b/>
          <w:bCs/>
          <w:sz w:val="24"/>
          <w:szCs w:val="24"/>
          <w:highlight w:val="none"/>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wordWrap/>
        <w:overflowPunct/>
        <w:bidi w:val="0"/>
        <w:spacing w:line="240" w:lineRule="auto"/>
        <w:rPr>
          <w:rFonts w:hint="eastAsia" w:ascii="宋体"/>
          <w:b/>
          <w:bCs/>
          <w:sz w:val="24"/>
          <w:szCs w:val="24"/>
          <w:highlight w:val="none"/>
        </w:rPr>
      </w:pPr>
      <w:r>
        <w:rPr>
          <w:rFonts w:ascii="宋体"/>
          <w:b/>
          <w:bCs/>
          <w:sz w:val="24"/>
          <w:szCs w:val="24"/>
          <w:highlight w:val="none"/>
        </w:rPr>
        <w:t>附件</w:t>
      </w:r>
      <w:r>
        <w:rPr>
          <w:rFonts w:hint="eastAsia" w:ascii="宋体"/>
          <w:b/>
          <w:bCs/>
          <w:sz w:val="24"/>
          <w:szCs w:val="24"/>
          <w:highlight w:val="none"/>
          <w:lang w:val="en-US" w:eastAsia="zh-CN"/>
        </w:rPr>
        <w:t>2</w:t>
      </w:r>
      <w:r>
        <w:rPr>
          <w:rFonts w:hint="eastAsia" w:ascii="宋体"/>
          <w:b/>
          <w:bCs/>
          <w:sz w:val="24"/>
          <w:szCs w:val="24"/>
          <w:highlight w:val="none"/>
        </w:rPr>
        <w:t>：</w:t>
      </w:r>
    </w:p>
    <w:p>
      <w:pPr>
        <w:keepNext w:val="0"/>
        <w:keepLines w:val="0"/>
        <w:pageBreakBefore w:val="0"/>
        <w:widowControl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kern w:val="2"/>
          <w:sz w:val="44"/>
          <w:szCs w:val="44"/>
          <w:highlight w:val="none"/>
          <w:lang w:val="zh-CN" w:eastAsia="zh-CN" w:bidi="ar-SA"/>
        </w:rPr>
      </w:pPr>
      <w:r>
        <w:rPr>
          <w:rFonts w:hint="eastAsia" w:ascii="方正小标宋_GBK" w:hAnsi="方正小标宋_GBK" w:eastAsia="方正小标宋_GBK" w:cs="方正小标宋_GBK"/>
          <w:kern w:val="2"/>
          <w:sz w:val="44"/>
          <w:szCs w:val="44"/>
          <w:highlight w:val="none"/>
          <w:lang w:val="zh-CN" w:eastAsia="zh-CN" w:bidi="ar-SA"/>
        </w:rPr>
        <w:t>磋商响应报价表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shd w:val="clear" w:fill="FFFFFF"/>
        </w:rPr>
        <w:t>项目名称：</w:t>
      </w:r>
    </w:p>
    <w:tbl>
      <w:tblPr>
        <w:tblStyle w:val="19"/>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i w:val="0"/>
                <w:iCs w:val="0"/>
                <w:caps w:val="0"/>
                <w:color w:val="333333"/>
                <w:spacing w:val="0"/>
                <w:sz w:val="28"/>
                <w:szCs w:val="28"/>
                <w:highlight w:val="none"/>
                <w:lang w:val="en-US" w:eastAsia="zh-CN"/>
              </w:rPr>
              <w:t>投标</w:t>
            </w:r>
            <w:r>
              <w:rPr>
                <w:rFonts w:hint="eastAsia" w:ascii="方正仿宋_GBK" w:hAnsi="方正仿宋_GBK" w:eastAsia="方正仿宋_GBK" w:cs="方正仿宋_GBK"/>
                <w:i w:val="0"/>
                <w:iCs w:val="0"/>
                <w:caps w:val="0"/>
                <w:color w:val="333333"/>
                <w:spacing w:val="0"/>
                <w:sz w:val="28"/>
                <w:szCs w:val="28"/>
                <w:highlight w:val="none"/>
              </w:rPr>
              <w:t>人</w:t>
            </w:r>
            <w:r>
              <w:rPr>
                <w:rFonts w:hint="eastAsia" w:ascii="方正仿宋_GBK" w:hAnsi="方正仿宋_GBK" w:eastAsia="方正仿宋_GBK" w:cs="方正仿宋_GBK"/>
                <w:i w:val="0"/>
                <w:iCs w:val="0"/>
                <w:caps w:val="0"/>
                <w:color w:val="333333"/>
                <w:spacing w:val="0"/>
                <w:sz w:val="28"/>
                <w:szCs w:val="28"/>
                <w:highlight w:val="none"/>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大写（人民币）：</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大写（人民币）：</w:t>
            </w:r>
          </w:p>
          <w:p>
            <w:pPr>
              <w:pStyle w:val="1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highlight w:val="none"/>
              </w:rPr>
            </w:pP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highlight w:val="none"/>
          <w:shd w:val="clear" w:fill="FFFFFF"/>
          <w:lang w:val="en-US" w:eastAsia="zh-CN"/>
        </w:rPr>
      </w:pP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highlight w:val="none"/>
        </w:rPr>
      </w:pPr>
      <w:r>
        <w:rPr>
          <w:rFonts w:hint="eastAsia" w:ascii="方正仿宋_GBK" w:hAnsi="方正仿宋_GBK" w:eastAsia="方正仿宋_GBK" w:cs="方正仿宋_GBK"/>
          <w:i w:val="0"/>
          <w:iCs w:val="0"/>
          <w:caps w:val="0"/>
          <w:color w:val="333333"/>
          <w:spacing w:val="0"/>
          <w:sz w:val="28"/>
          <w:szCs w:val="28"/>
          <w:highlight w:val="none"/>
          <w:shd w:val="clear" w:fill="FFFFFF"/>
          <w:lang w:val="en-US" w:eastAsia="zh-CN"/>
        </w:rPr>
        <w:t>投标单位</w:t>
      </w:r>
      <w:r>
        <w:rPr>
          <w:rFonts w:hint="eastAsia" w:ascii="方正仿宋_GBK" w:hAnsi="方正仿宋_GBK" w:eastAsia="方正仿宋_GBK" w:cs="方正仿宋_GBK"/>
          <w:i w:val="0"/>
          <w:iCs w:val="0"/>
          <w:caps w:val="0"/>
          <w:color w:val="333333"/>
          <w:spacing w:val="0"/>
          <w:sz w:val="28"/>
          <w:szCs w:val="28"/>
          <w:highlight w:val="none"/>
          <w:shd w:val="clear" w:fill="FFFFFF"/>
        </w:rPr>
        <w:t>：（盖章）</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highlight w:val="none"/>
          <w:shd w:val="clear" w:fill="FFFFFF"/>
        </w:rPr>
      </w:pPr>
      <w:r>
        <w:rPr>
          <w:rFonts w:hint="eastAsia" w:ascii="方正仿宋_GBK" w:hAnsi="方正仿宋_GBK" w:eastAsia="方正仿宋_GBK" w:cs="方正仿宋_GBK"/>
          <w:i w:val="0"/>
          <w:iCs w:val="0"/>
          <w:caps w:val="0"/>
          <w:color w:val="333333"/>
          <w:spacing w:val="0"/>
          <w:sz w:val="28"/>
          <w:szCs w:val="28"/>
          <w:highlight w:val="none"/>
          <w:shd w:val="clear" w:fill="FFFFFF"/>
        </w:rPr>
        <w:t>日</w:t>
      </w:r>
      <w:r>
        <w:rPr>
          <w:rFonts w:hint="eastAsia" w:ascii="方正仿宋_GBK" w:hAnsi="方正仿宋_GBK" w:eastAsia="方正仿宋_GBK" w:cs="方正仿宋_GBK"/>
          <w:i w:val="0"/>
          <w:iCs w:val="0"/>
          <w:caps w:val="0"/>
          <w:color w:val="333333"/>
          <w:spacing w:val="0"/>
          <w:sz w:val="28"/>
          <w:szCs w:val="28"/>
          <w:highlight w:val="none"/>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28"/>
          <w:szCs w:val="28"/>
          <w:highlight w:val="none"/>
          <w:shd w:val="clear" w:fill="FFFFFF"/>
        </w:rPr>
        <w:t>期：</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default" w:ascii="Times New Roman" w:hAnsi="Times New Roman" w:eastAsia="黑体" w:cs="Times New Roman"/>
          <w:sz w:val="32"/>
          <w:szCs w:val="32"/>
          <w:highlight w:val="none"/>
          <w:lang w:val="en-US" w:eastAsia="zh-CN"/>
        </w:rPr>
      </w:pPr>
      <w:r>
        <w:rPr>
          <w:rFonts w:hint="eastAsia" w:ascii="方正仿宋_GBK" w:hAnsi="方正仿宋_GBK" w:eastAsia="方正仿宋_GBK" w:cs="方正仿宋_GBK"/>
          <w:i w:val="0"/>
          <w:iCs w:val="0"/>
          <w:caps w:val="0"/>
          <w:color w:val="333333"/>
          <w:spacing w:val="0"/>
          <w:sz w:val="28"/>
          <w:szCs w:val="28"/>
          <w:highlight w:val="none"/>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3"/>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CB985A"/>
    <w:multiLevelType w:val="singleLevel"/>
    <w:tmpl w:val="19CB985A"/>
    <w:lvl w:ilvl="0" w:tentative="0">
      <w:start w:val="1"/>
      <w:numFmt w:val="decimal"/>
      <w:suff w:val="nothing"/>
      <w:lvlText w:val="（%1）"/>
      <w:lvlJc w:val="left"/>
    </w:lvl>
  </w:abstractNum>
  <w:abstractNum w:abstractNumId="1">
    <w:nsid w:val="3CC19BCD"/>
    <w:multiLevelType w:val="singleLevel"/>
    <w:tmpl w:val="3CC19BCD"/>
    <w:lvl w:ilvl="0" w:tentative="0">
      <w:start w:val="1"/>
      <w:numFmt w:val="decimal"/>
      <w:suff w:val="nothing"/>
      <w:lvlText w:val="（%1）"/>
      <w:lvlJc w:val="left"/>
    </w:lvl>
  </w:abstractNum>
  <w:abstractNum w:abstractNumId="2">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6"/>
      <w:suff w:val="space"/>
      <w:lvlText w:val="%3、"/>
      <w:lvlJc w:val="left"/>
      <w:pPr>
        <w:ind w:left="0" w:firstLine="420"/>
      </w:pPr>
      <w:rPr>
        <w:rFonts w:hint="eastAsia"/>
      </w:rPr>
    </w:lvl>
    <w:lvl w:ilvl="3" w:tentative="0">
      <w:start w:val="1"/>
      <w:numFmt w:val="decimal"/>
      <w:pStyle w:val="7"/>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1EB2BD6"/>
    <w:multiLevelType w:val="multilevel"/>
    <w:tmpl w:val="51EB2BD6"/>
    <w:lvl w:ilvl="0" w:tentative="0">
      <w:start w:val="2"/>
      <w:numFmt w:val="decimal"/>
      <w:suff w:val="nothing"/>
      <w:lvlText w:val="%1、"/>
      <w:lvlJc w:val="left"/>
      <w:pPr>
        <w:ind w:left="0" w:firstLine="0"/>
      </w:pPr>
      <w:rPr>
        <w:rFonts w:hint="default" w:ascii="Times New Roman" w:hAnsi="Times New Roman" w:eastAsia="宋体"/>
        <w:b/>
        <w:i w:val="0"/>
        <w:sz w:val="32"/>
      </w:rPr>
    </w:lvl>
    <w:lvl w:ilvl="1" w:tentative="0">
      <w:start w:val="1"/>
      <w:numFmt w:val="decimal"/>
      <w:pStyle w:val="4"/>
      <w:isLgl/>
      <w:suff w:val="nothing"/>
      <w:lvlText w:val="%1.%2、"/>
      <w:lvlJc w:val="left"/>
      <w:pPr>
        <w:ind w:left="210" w:hanging="210"/>
      </w:pPr>
      <w:rPr>
        <w:rFonts w:hint="default" w:ascii="Times New Roman" w:hAnsi="Times New Roman" w:eastAsia="宋体"/>
        <w:b/>
        <w:i w:val="0"/>
        <w:sz w:val="30"/>
      </w:rPr>
    </w:lvl>
    <w:lvl w:ilvl="2" w:tentative="0">
      <w:start w:val="1"/>
      <w:numFmt w:val="decimal"/>
      <w:isLgl/>
      <w:suff w:val="nothing"/>
      <w:lvlText w:val="%1.%2.%3、"/>
      <w:lvlJc w:val="left"/>
      <w:pPr>
        <w:ind w:left="1050" w:hanging="596"/>
      </w:pPr>
      <w:rPr>
        <w:rFonts w:hint="default" w:ascii="Times New Roman" w:hAnsi="Times New Roman" w:eastAsia="宋体"/>
        <w:b/>
        <w:i w:val="0"/>
        <w:sz w:val="28"/>
      </w:rPr>
    </w:lvl>
    <w:lvl w:ilvl="3" w:tentative="0">
      <w:start w:val="1"/>
      <w:numFmt w:val="decimal"/>
      <w:isLgl/>
      <w:suff w:val="nothing"/>
      <w:lvlText w:val="%1.%2.%3.%4、"/>
      <w:lvlJc w:val="left"/>
      <w:pPr>
        <w:ind w:left="630" w:firstLine="0"/>
      </w:pPr>
      <w:rPr>
        <w:rFonts w:hint="default" w:ascii="Times New Roman" w:hAnsi="Times New Roman" w:eastAsia="宋体"/>
        <w:b/>
        <w:i w:val="0"/>
        <w:sz w:val="24"/>
      </w:rPr>
    </w:lvl>
    <w:lvl w:ilvl="4" w:tentative="0">
      <w:start w:val="1"/>
      <w:numFmt w:val="decimal"/>
      <w:isLgl/>
      <w:suff w:val="nothing"/>
      <w:lvlText w:val="%1.%2.%3.%4.%5、"/>
      <w:lvlJc w:val="left"/>
      <w:pPr>
        <w:ind w:left="0" w:firstLine="0"/>
      </w:pPr>
      <w:rPr>
        <w:rFonts w:hint="default" w:ascii="Times New Roman" w:hAnsi="Times New Roman" w:eastAsia="宋体"/>
        <w:b/>
        <w:i w:val="0"/>
        <w:sz w:val="21"/>
      </w:rPr>
    </w:lvl>
    <w:lvl w:ilvl="5" w:tentative="0">
      <w:start w:val="1"/>
      <w:numFmt w:val="decimal"/>
      <w:isLgl/>
      <w:suff w:val="nothing"/>
      <w:lvlText w:val="%1.%2.%3.%4.%5.%6、"/>
      <w:lvlJc w:val="left"/>
      <w:pPr>
        <w:ind w:left="0" w:firstLine="0"/>
      </w:pPr>
      <w:rPr>
        <w:rFonts w:hint="default" w:ascii="Times New Roman" w:hAnsi="Times New Roman" w:eastAsia="宋体"/>
        <w:b/>
        <w:i w:val="0"/>
        <w:sz w:val="21"/>
      </w:rPr>
    </w:lvl>
    <w:lvl w:ilvl="6" w:tentative="0">
      <w:start w:val="1"/>
      <w:numFmt w:val="decimal"/>
      <w:isLgl/>
      <w:suff w:val="nothing"/>
      <w:lvlText w:val="%1.%2.%3.%4.%5.%6.%7、"/>
      <w:lvlJc w:val="left"/>
      <w:pPr>
        <w:ind w:left="0" w:firstLine="0"/>
      </w:pPr>
      <w:rPr>
        <w:rFonts w:hint="default" w:ascii="Times New Roman" w:hAnsi="Times New Roman" w:eastAsia="宋体"/>
        <w:b/>
        <w:i w:val="0"/>
        <w:sz w:val="21"/>
      </w:rPr>
    </w:lvl>
    <w:lvl w:ilvl="7" w:tentative="0">
      <w:start w:val="1"/>
      <w:numFmt w:val="decimal"/>
      <w:isLgl/>
      <w:suff w:val="nothing"/>
      <w:lvlText w:val="%1.%2.%3.%4.%5.%6.%7.%8、"/>
      <w:lvlJc w:val="left"/>
      <w:pPr>
        <w:ind w:left="0" w:firstLine="0"/>
      </w:pPr>
      <w:rPr>
        <w:rFonts w:hint="default" w:ascii="Times New Roman" w:hAnsi="Times New Roman" w:eastAsia="宋体"/>
        <w:b/>
        <w:i w:val="0"/>
        <w:sz w:val="21"/>
      </w:rPr>
    </w:lvl>
    <w:lvl w:ilvl="8" w:tentative="0">
      <w:start w:val="1"/>
      <w:numFmt w:val="decimal"/>
      <w:isLgl/>
      <w:suff w:val="nothing"/>
      <w:lvlText w:val="%1.%2.%3.%4.%5.%6.%7.%8.%9、"/>
      <w:lvlJc w:val="left"/>
      <w:pPr>
        <w:ind w:left="0" w:firstLine="0"/>
      </w:pPr>
      <w:rPr>
        <w:rFonts w:hint="default" w:ascii="Times New Roman" w:hAnsi="Times New Roman" w:eastAsia="宋体"/>
        <w:b/>
        <w:i w:val="0"/>
        <w:sz w:val="21"/>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155A30D3"/>
    <w:rsid w:val="159E329B"/>
    <w:rsid w:val="167571D0"/>
    <w:rsid w:val="16FA3937"/>
    <w:rsid w:val="17F90F83"/>
    <w:rsid w:val="189967EB"/>
    <w:rsid w:val="199339DE"/>
    <w:rsid w:val="1B5C73CB"/>
    <w:rsid w:val="1F82303C"/>
    <w:rsid w:val="21CB5418"/>
    <w:rsid w:val="24EA6547"/>
    <w:rsid w:val="263D2305"/>
    <w:rsid w:val="28792866"/>
    <w:rsid w:val="2BEC7003"/>
    <w:rsid w:val="2C247228"/>
    <w:rsid w:val="2FC04A31"/>
    <w:rsid w:val="31354534"/>
    <w:rsid w:val="31BC0BA2"/>
    <w:rsid w:val="3B1C421D"/>
    <w:rsid w:val="3BD35C71"/>
    <w:rsid w:val="3DD22B86"/>
    <w:rsid w:val="3E466D74"/>
    <w:rsid w:val="42C06A3C"/>
    <w:rsid w:val="445865E5"/>
    <w:rsid w:val="45495A05"/>
    <w:rsid w:val="46367DBF"/>
    <w:rsid w:val="465E0EE8"/>
    <w:rsid w:val="470F3D48"/>
    <w:rsid w:val="4AD652DE"/>
    <w:rsid w:val="4B170BB7"/>
    <w:rsid w:val="4D3C7046"/>
    <w:rsid w:val="4D86770C"/>
    <w:rsid w:val="4D954A8F"/>
    <w:rsid w:val="4E6B74B7"/>
    <w:rsid w:val="552159DD"/>
    <w:rsid w:val="56686E91"/>
    <w:rsid w:val="59892792"/>
    <w:rsid w:val="59CB00AF"/>
    <w:rsid w:val="5A4B2513"/>
    <w:rsid w:val="5AB078E9"/>
    <w:rsid w:val="5AEB55B9"/>
    <w:rsid w:val="5B501CFC"/>
    <w:rsid w:val="5EDD4798"/>
    <w:rsid w:val="6022379A"/>
    <w:rsid w:val="608F0419"/>
    <w:rsid w:val="60F15F42"/>
    <w:rsid w:val="61081953"/>
    <w:rsid w:val="61756C12"/>
    <w:rsid w:val="618159FF"/>
    <w:rsid w:val="62590C5D"/>
    <w:rsid w:val="67024A05"/>
    <w:rsid w:val="675B6E7D"/>
    <w:rsid w:val="67E1286C"/>
    <w:rsid w:val="68696AB2"/>
    <w:rsid w:val="6CF46B9E"/>
    <w:rsid w:val="731A2D5D"/>
    <w:rsid w:val="749113CE"/>
    <w:rsid w:val="767B2075"/>
    <w:rsid w:val="786D0B32"/>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5"/>
    <w:qFormat/>
    <w:uiPriority w:val="9"/>
    <w:pPr>
      <w:keepNext/>
      <w:keepLines/>
      <w:numPr>
        <w:ilvl w:val="1"/>
        <w:numId w:val="1"/>
      </w:numPr>
      <w:spacing w:before="120" w:after="120" w:line="360" w:lineRule="auto"/>
      <w:ind w:hanging="210"/>
      <w:outlineLvl w:val="1"/>
    </w:pPr>
    <w:rPr>
      <w:b/>
      <w:bCs/>
      <w:sz w:val="30"/>
      <w:szCs w:val="32"/>
    </w:rPr>
  </w:style>
  <w:style w:type="paragraph" w:styleId="6">
    <w:name w:val="heading 3"/>
    <w:basedOn w:val="1"/>
    <w:next w:val="5"/>
    <w:unhideWhenUsed/>
    <w:qFormat/>
    <w:uiPriority w:val="0"/>
    <w:pPr>
      <w:keepNext/>
      <w:keepLines/>
      <w:numPr>
        <w:ilvl w:val="2"/>
        <w:numId w:val="2"/>
      </w:numPr>
      <w:spacing w:before="100" w:after="100"/>
      <w:ind w:firstLineChars="200"/>
      <w:outlineLvl w:val="2"/>
    </w:pPr>
    <w:rPr>
      <w:rFonts w:eastAsia="仿宋"/>
      <w:b/>
      <w:bCs/>
      <w:sz w:val="28"/>
      <w:szCs w:val="32"/>
    </w:rPr>
  </w:style>
  <w:style w:type="paragraph" w:styleId="7">
    <w:name w:val="heading 4"/>
    <w:basedOn w:val="1"/>
    <w:next w:val="1"/>
    <w:unhideWhenUsed/>
    <w:qFormat/>
    <w:uiPriority w:val="0"/>
    <w:pPr>
      <w:keepNext/>
      <w:keepLines/>
      <w:numPr>
        <w:ilvl w:val="3"/>
        <w:numId w:val="2"/>
      </w:numPr>
      <w:spacing w:before="40" w:after="40"/>
      <w:ind w:firstLine="200" w:firstLineChars="200"/>
      <w:outlineLvl w:val="3"/>
    </w:pPr>
    <w:rPr>
      <w:rFonts w:eastAsia="仿宋" w:asciiTheme="majorHAnsi" w:hAnsiTheme="majorHAnsi"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rPr>
      <w:rFonts w:ascii="宋体" w:hAnsi="Courier New"/>
      <w:szCs w:val="20"/>
    </w:rPr>
  </w:style>
  <w:style w:type="paragraph" w:customStyle="1" w:styleId="5">
    <w:name w:val="正文2"/>
    <w:basedOn w:val="1"/>
    <w:next w:val="1"/>
    <w:qFormat/>
    <w:uiPriority w:val="0"/>
    <w:pPr>
      <w:spacing w:line="360" w:lineRule="auto"/>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next w:val="10"/>
    <w:semiHidden/>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qFormat/>
    <w:uiPriority w:val="99"/>
    <w:pPr>
      <w:spacing w:after="120"/>
      <w:ind w:left="1440" w:leftChars="700" w:right="700" w:rightChars="700"/>
    </w:pPr>
  </w:style>
  <w:style w:type="paragraph" w:styleId="12">
    <w:name w:val="Balloon Text"/>
    <w:basedOn w:val="1"/>
    <w:link w:val="27"/>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8">
    <w:name w:val="Body Text First Indent 2"/>
    <w:basedOn w:val="9"/>
    <w:qFormat/>
    <w:uiPriority w:val="99"/>
    <w:pPr>
      <w:ind w:firstLine="420" w:firstLineChars="200"/>
    </w:pPr>
    <w:rPr>
      <w:sz w:val="32"/>
      <w:szCs w:val="24"/>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paragraph" w:customStyle="1" w:styleId="23">
    <w:name w:val="正文1"/>
    <w:basedOn w:val="1"/>
    <w:qFormat/>
    <w:uiPriority w:val="0"/>
    <w:pPr>
      <w:spacing w:line="360" w:lineRule="auto"/>
      <w:ind w:firstLine="361"/>
    </w:pPr>
    <w:rPr>
      <w:rFonts w:ascii="宋体" w:hAnsi="宋体"/>
      <w:szCs w:val="24"/>
    </w:rPr>
  </w:style>
  <w:style w:type="character" w:customStyle="1" w:styleId="24">
    <w:name w:val="页眉 字符"/>
    <w:basedOn w:val="21"/>
    <w:link w:val="14"/>
    <w:semiHidden/>
    <w:qFormat/>
    <w:uiPriority w:val="99"/>
    <w:rPr>
      <w:sz w:val="18"/>
      <w:szCs w:val="18"/>
    </w:rPr>
  </w:style>
  <w:style w:type="character" w:customStyle="1" w:styleId="25">
    <w:name w:val="页脚 字符"/>
    <w:basedOn w:val="21"/>
    <w:link w:val="13"/>
    <w:qFormat/>
    <w:uiPriority w:val="99"/>
    <w:rPr>
      <w:sz w:val="18"/>
      <w:szCs w:val="18"/>
    </w:rPr>
  </w:style>
  <w:style w:type="paragraph" w:customStyle="1" w:styleId="26">
    <w:name w:val="p0"/>
    <w:basedOn w:val="1"/>
    <w:qFormat/>
    <w:uiPriority w:val="0"/>
    <w:pPr>
      <w:widowControl/>
    </w:pPr>
    <w:rPr>
      <w:rFonts w:ascii="Calibri" w:hAnsi="Calibri" w:eastAsia="宋体" w:cs="Calibri"/>
      <w:kern w:val="0"/>
      <w:szCs w:val="21"/>
    </w:rPr>
  </w:style>
  <w:style w:type="character" w:customStyle="1" w:styleId="27">
    <w:name w:val="批注框文本 字符"/>
    <w:basedOn w:val="21"/>
    <w:link w:val="12"/>
    <w:semiHidden/>
    <w:qFormat/>
    <w:uiPriority w:val="99"/>
    <w:rPr>
      <w:sz w:val="18"/>
      <w:szCs w:val="18"/>
    </w:rPr>
  </w:style>
  <w:style w:type="paragraph" w:customStyle="1" w:styleId="28">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9">
    <w:name w:val="List Paragraph"/>
    <w:basedOn w:val="1"/>
    <w:qFormat/>
    <w:uiPriority w:val="34"/>
    <w:pPr>
      <w:ind w:firstLine="420" w:firstLineChars="200"/>
    </w:pPr>
  </w:style>
  <w:style w:type="paragraph" w:customStyle="1" w:styleId="30">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5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4551</Words>
  <Characters>4729</Characters>
  <Lines>13</Lines>
  <Paragraphs>3</Paragraphs>
  <TotalTime>2</TotalTime>
  <ScaleCrop>false</ScaleCrop>
  <LinksUpToDate>false</LinksUpToDate>
  <CharactersWithSpaces>4864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飞鱼</cp:lastModifiedBy>
  <cp:lastPrinted>2021-05-25T06:59:00Z</cp:lastPrinted>
  <dcterms:modified xsi:type="dcterms:W3CDTF">2023-11-30T09:27:52Z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2052-12.1.0.15712</vt:lpwstr>
  </property>
  <property fmtid="{D5CDD505-2E9C-101B-9397-08002B2CF9AE}" pid="4" name="ICV">
    <vt:lpwstr>7FE9DC7E27344AC18BD89497BBBF109F_13</vt:lpwstr>
  </property>
</Properties>
</file>