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黑体" w:cs="Times New Roman"/>
          <w:sz w:val="44"/>
          <w:szCs w:val="44"/>
        </w:rPr>
      </w:pPr>
      <w:bookmarkStart w:id="0" w:name="_Hlk70187013"/>
      <w:r>
        <w:rPr>
          <w:rFonts w:hint="eastAsia" w:ascii="Times New Roman" w:hAnsi="Times New Roman" w:eastAsia="黑体" w:cs="Times New Roman"/>
          <w:sz w:val="44"/>
          <w:szCs w:val="44"/>
        </w:rPr>
        <w:t>南通市行政审批局一体化平台网上中介超市涉税专区等功能完善项目单一来源邀请公告</w:t>
      </w:r>
    </w:p>
    <w:p>
      <w:pPr>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南通</w:t>
      </w:r>
      <w:r>
        <w:rPr>
          <w:rFonts w:ascii="Times New Roman" w:hAnsi="Times New Roman" w:eastAsia="方正仿宋_GBK" w:cs="Times New Roman"/>
          <w:sz w:val="32"/>
          <w:szCs w:val="32"/>
        </w:rPr>
        <w:t>市行政审批局拟对</w:t>
      </w:r>
      <w:r>
        <w:rPr>
          <w:rFonts w:hint="eastAsia" w:ascii="Times New Roman" w:hAnsi="Times New Roman" w:eastAsia="方正仿宋_GBK" w:cs="Times New Roman"/>
          <w:sz w:val="32"/>
          <w:szCs w:val="32"/>
        </w:rPr>
        <w:t>一体化平台网上中介超市涉税专区等功能完善项目</w:t>
      </w:r>
      <w:r>
        <w:rPr>
          <w:rFonts w:ascii="Times New Roman" w:hAnsi="Times New Roman" w:eastAsia="方正仿宋_GBK" w:cs="Times New Roman"/>
          <w:sz w:val="32"/>
          <w:szCs w:val="32"/>
        </w:rPr>
        <w:t>以</w:t>
      </w:r>
      <w:r>
        <w:rPr>
          <w:rFonts w:hint="eastAsia" w:ascii="Times New Roman" w:hAnsi="Times New Roman" w:eastAsia="方正仿宋_GBK" w:cs="Times New Roman"/>
          <w:sz w:val="32"/>
          <w:szCs w:val="32"/>
        </w:rPr>
        <w:t>单一来源</w:t>
      </w:r>
      <w:r>
        <w:rPr>
          <w:rFonts w:ascii="Times New Roman" w:hAnsi="Times New Roman" w:eastAsia="方正仿宋_GBK" w:cs="Times New Roman"/>
          <w:sz w:val="32"/>
          <w:szCs w:val="32"/>
        </w:rPr>
        <w:t>方式</w:t>
      </w:r>
      <w:r>
        <w:rPr>
          <w:rFonts w:hint="eastAsia" w:ascii="Times New Roman" w:hAnsi="Times New Roman" w:eastAsia="方正仿宋_GBK" w:cs="Times New Roman"/>
          <w:sz w:val="32"/>
          <w:szCs w:val="32"/>
        </w:rPr>
        <w:t>进行</w:t>
      </w:r>
      <w:r>
        <w:rPr>
          <w:rFonts w:ascii="Times New Roman" w:hAnsi="Times New Roman" w:eastAsia="方正仿宋_GBK" w:cs="Times New Roman"/>
          <w:sz w:val="32"/>
          <w:szCs w:val="32"/>
        </w:rPr>
        <w:t>采购，</w:t>
      </w:r>
      <w:r>
        <w:rPr>
          <w:rFonts w:hint="eastAsia" w:ascii="Times New Roman" w:hAnsi="Times New Roman" w:eastAsia="方正仿宋_GBK" w:cs="Times New Roman"/>
          <w:sz w:val="32"/>
          <w:szCs w:val="32"/>
          <w:lang w:val="en-US" w:eastAsia="zh-CN"/>
        </w:rPr>
        <w:t>邀请</w:t>
      </w:r>
      <w:r>
        <w:rPr>
          <w:rFonts w:ascii="Times New Roman" w:hAnsi="Times New Roman" w:eastAsia="方正仿宋_GBK" w:cs="Times New Roman"/>
          <w:sz w:val="32"/>
          <w:szCs w:val="32"/>
        </w:rPr>
        <w:t>公告如下：</w:t>
      </w:r>
    </w:p>
    <w:p>
      <w:pPr>
        <w:spacing w:line="560" w:lineRule="exact"/>
        <w:rPr>
          <w:rFonts w:ascii="Times New Roman" w:hAnsi="Times New Roman" w:eastAsia="方正仿宋_GBK" w:cs="Times New Roman"/>
          <w:sz w:val="32"/>
          <w:szCs w:val="32"/>
        </w:rPr>
      </w:pPr>
      <w:r>
        <w:rPr>
          <w:rFonts w:ascii="Times New Roman" w:hAnsi="Times New Roman" w:eastAsia="黑体" w:cs="Times New Roman"/>
          <w:sz w:val="32"/>
          <w:szCs w:val="32"/>
        </w:rPr>
        <w:t xml:space="preserve">    一、项目名称：</w:t>
      </w:r>
      <w:r>
        <w:rPr>
          <w:rFonts w:hint="eastAsia" w:ascii="Times New Roman" w:hAnsi="Times New Roman" w:eastAsia="方正仿宋_GBK" w:cs="Times New Roman"/>
          <w:sz w:val="32"/>
          <w:szCs w:val="32"/>
        </w:rPr>
        <w:t>南通市行政审批局</w:t>
      </w:r>
      <w:r>
        <w:rPr>
          <w:rFonts w:hint="eastAsia" w:ascii="Times New Roman" w:hAnsi="Times New Roman" w:eastAsia="方正仿宋_GBK" w:cs="Times New Roman"/>
          <w:sz w:val="32"/>
          <w:szCs w:val="32"/>
        </w:rPr>
        <w:t>一体化平台网上中介超市涉税专区等功能完善项目</w:t>
      </w:r>
    </w:p>
    <w:p>
      <w:pPr>
        <w:keepNext w:val="0"/>
        <w:keepLines w:val="0"/>
        <w:pageBreakBefore w:val="0"/>
        <w:widowControl w:val="0"/>
        <w:kinsoku/>
        <w:wordWrap/>
        <w:overflowPunct/>
        <w:topLinePunct w:val="0"/>
        <w:bidi w:val="0"/>
        <w:adjustRightInd/>
        <w:spacing w:line="560" w:lineRule="exact"/>
        <w:ind w:firstLine="640" w:firstLineChars="200"/>
        <w:textAlignment w:val="auto"/>
        <w:rPr>
          <w:rFonts w:hint="eastAsia" w:ascii="Times New Roman" w:hAnsi="Times New Roman" w:eastAsia="方正仿宋_GBK" w:cs="Times New Roman"/>
          <w:sz w:val="32"/>
          <w:szCs w:val="32"/>
        </w:rPr>
      </w:pPr>
      <w:bookmarkStart w:id="1" w:name="_Hlk70189144"/>
      <w:bookmarkStart w:id="2" w:name="_Hlk70189105"/>
      <w:r>
        <w:rPr>
          <w:rFonts w:hint="eastAsia" w:ascii="Times New Roman" w:hAnsi="Times New Roman" w:eastAsia="黑体" w:cs="Times New Roman"/>
          <w:sz w:val="32"/>
          <w:szCs w:val="32"/>
          <w:lang w:val="en-US" w:eastAsia="zh-CN"/>
        </w:rPr>
        <w:t>二</w:t>
      </w:r>
      <w:r>
        <w:rPr>
          <w:rFonts w:ascii="Times New Roman" w:hAnsi="Times New Roman" w:eastAsia="黑体" w:cs="Times New Roman"/>
          <w:sz w:val="32"/>
          <w:szCs w:val="32"/>
        </w:rPr>
        <w:t>、</w:t>
      </w:r>
      <w:r>
        <w:rPr>
          <w:rFonts w:hint="eastAsia" w:ascii="Times New Roman" w:hAnsi="Times New Roman" w:eastAsia="黑体" w:cs="Times New Roman"/>
          <w:color w:val="000000" w:themeColor="text1"/>
          <w:sz w:val="32"/>
          <w:szCs w:val="32"/>
          <w14:textFill>
            <w14:solidFill>
              <w14:schemeClr w14:val="tx1"/>
            </w14:solidFill>
          </w14:textFill>
        </w:rPr>
        <w:t>项目预算：</w:t>
      </w:r>
      <w:r>
        <w:rPr>
          <w:rFonts w:hint="eastAsia" w:ascii="Times New Roman" w:hAnsi="Times New Roman" w:eastAsia="方正仿宋_GBK" w:cs="Times New Roman"/>
          <w:sz w:val="32"/>
          <w:szCs w:val="32"/>
          <w:lang w:val="en-US" w:eastAsia="zh-CN"/>
        </w:rPr>
        <w:t>37.4</w:t>
      </w:r>
      <w:r>
        <w:rPr>
          <w:rFonts w:hint="eastAsia" w:ascii="Times New Roman" w:hAnsi="Times New Roman" w:eastAsia="方正仿宋_GBK" w:cs="Times New Roman"/>
          <w:sz w:val="32"/>
          <w:szCs w:val="32"/>
        </w:rPr>
        <w:t>万元</w:t>
      </w:r>
    </w:p>
    <w:p>
      <w:pPr>
        <w:pStyle w:val="25"/>
        <w:keepNext w:val="0"/>
        <w:keepLines w:val="0"/>
        <w:pageBreakBefore w:val="0"/>
        <w:widowControl w:val="0"/>
        <w:kinsoku/>
        <w:wordWrap/>
        <w:overflowPunct/>
        <w:topLinePunct w:val="0"/>
        <w:bidi w:val="0"/>
        <w:adjustRightInd/>
        <w:spacing w:after="0" w:line="560" w:lineRule="exact"/>
        <w:ind w:left="0" w:leftChars="0"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黑体" w:cs="Times New Roman"/>
          <w:sz w:val="32"/>
          <w:szCs w:val="32"/>
          <w:lang w:val="en-US" w:eastAsia="zh-CN"/>
        </w:rPr>
        <w:t>三、采购方式：</w:t>
      </w:r>
      <w:r>
        <w:rPr>
          <w:rFonts w:hint="eastAsia" w:ascii="Times New Roman" w:hAnsi="Times New Roman" w:eastAsia="方正仿宋_GBK" w:cs="Times New Roman"/>
          <w:kern w:val="2"/>
          <w:sz w:val="32"/>
          <w:szCs w:val="32"/>
          <w:lang w:val="en-US" w:eastAsia="zh-CN" w:bidi="ar-SA"/>
        </w:rPr>
        <w:t>单一来源</w:t>
      </w:r>
    </w:p>
    <w:p>
      <w:pPr>
        <w:pStyle w:val="17"/>
        <w:keepNext w:val="0"/>
        <w:keepLines w:val="0"/>
        <w:pageBreakBefore w:val="0"/>
        <w:widowControl w:val="0"/>
        <w:kinsoku/>
        <w:wordWrap/>
        <w:overflowPunct/>
        <w:topLinePunct w:val="0"/>
        <w:autoSpaceDE/>
        <w:autoSpaceDN/>
        <w:bidi w:val="0"/>
        <w:adjustRightInd/>
        <w:snapToGrid/>
        <w:spacing w:after="0" w:line="560" w:lineRule="exact"/>
        <w:ind w:left="0" w:leftChars="0" w:right="-92" w:rightChars="-44" w:firstLine="640" w:firstLineChars="200"/>
        <w:textAlignment w:val="auto"/>
        <w:rPr>
          <w:rFonts w:hint="default"/>
          <w:lang w:val="en-US"/>
        </w:rPr>
      </w:pPr>
      <w:r>
        <w:rPr>
          <w:rFonts w:hint="eastAsia" w:ascii="Times New Roman" w:hAnsi="Times New Roman" w:eastAsia="黑体" w:cs="Times New Roman"/>
          <w:kern w:val="2"/>
          <w:sz w:val="32"/>
          <w:szCs w:val="32"/>
          <w:lang w:val="en-US" w:eastAsia="zh-CN" w:bidi="ar-SA"/>
        </w:rPr>
        <w:t>四、</w:t>
      </w:r>
      <w:r>
        <w:rPr>
          <w:rFonts w:ascii="Times New Roman" w:hAnsi="Times New Roman" w:eastAsia="黑体" w:cs="Times New Roman"/>
          <w:kern w:val="2"/>
          <w:sz w:val="32"/>
          <w:szCs w:val="32"/>
          <w:lang w:val="en-US" w:eastAsia="zh-CN" w:bidi="ar-SA"/>
        </w:rPr>
        <w:t>拟采购供应商全称</w:t>
      </w:r>
      <w:r>
        <w:rPr>
          <w:rFonts w:hint="eastAsia" w:ascii="Times New Roman" w:hAnsi="Times New Roman" w:eastAsia="黑体"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国泰新点软件股份有限公司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黑体" w:cs="Times New Roman"/>
          <w:color w:val="000000" w:themeColor="text1"/>
          <w:sz w:val="32"/>
          <w:szCs w:val="32"/>
          <w:lang w:val="en-US" w:eastAsia="zh-CN"/>
          <w14:textFill>
            <w14:solidFill>
              <w14:schemeClr w14:val="tx1"/>
            </w14:solidFill>
          </w14:textFill>
        </w:rPr>
        <w:t>五、采购需求：</w:t>
      </w:r>
      <w:r>
        <w:rPr>
          <w:rFonts w:hint="eastAsia" w:ascii="Times New Roman" w:hAnsi="Times New Roman" w:eastAsia="方正仿宋_GBK" w:cs="Times New Roman"/>
          <w:sz w:val="32"/>
          <w:szCs w:val="32"/>
          <w:lang w:val="en-US" w:eastAsia="zh-CN"/>
        </w:rPr>
        <w:t>详见附件</w:t>
      </w:r>
    </w:p>
    <w:p>
      <w:pPr>
        <w:pStyle w:val="36"/>
        <w:keepNext w:val="0"/>
        <w:keepLines w:val="0"/>
        <w:pageBreakBefore w:val="0"/>
        <w:widowControl w:val="0"/>
        <w:kinsoku/>
        <w:wordWrap/>
        <w:overflowPunct/>
        <w:topLinePunct w:val="0"/>
        <w:bidi w:val="0"/>
        <w:adjustRightInd/>
        <w:spacing w:line="560" w:lineRule="exact"/>
        <w:ind w:firstLine="630"/>
        <w:jc w:val="left"/>
        <w:textAlignment w:val="auto"/>
        <w:rPr>
          <w:rFonts w:ascii="Times New Roman" w:eastAsia="仿宋_GB2312"/>
          <w:snapToGrid/>
          <w:color w:val="auto"/>
          <w:kern w:val="2"/>
          <w:sz w:val="32"/>
          <w:szCs w:val="32"/>
        </w:rPr>
      </w:pPr>
      <w:r>
        <w:rPr>
          <w:rFonts w:hint="eastAsia" w:ascii="Times New Roman" w:hAnsi="Times New Roman" w:eastAsia="黑体" w:cs="Times New Roman"/>
          <w:color w:val="auto"/>
          <w:sz w:val="32"/>
          <w:szCs w:val="32"/>
          <w:lang w:val="en-US" w:eastAsia="zh-CN"/>
        </w:rPr>
        <w:t>六</w:t>
      </w:r>
      <w:r>
        <w:rPr>
          <w:rFonts w:ascii="Times New Roman" w:hAnsi="Times New Roman" w:eastAsia="黑体" w:cs="Times New Roman"/>
          <w:color w:val="auto"/>
          <w:sz w:val="32"/>
          <w:szCs w:val="32"/>
        </w:rPr>
        <w:t>、开标时间</w:t>
      </w:r>
      <w:r>
        <w:rPr>
          <w:rFonts w:ascii="Times New Roman" w:hAnsi="Times New Roman" w:eastAsia="仿宋_GB2312" w:cs="Times New Roman"/>
          <w:color w:val="auto"/>
          <w:sz w:val="32"/>
          <w:szCs w:val="32"/>
        </w:rPr>
        <w:t>：</w:t>
      </w:r>
      <w:r>
        <w:rPr>
          <w:rFonts w:hint="eastAsia" w:asci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w:t>
      </w:r>
      <w:r>
        <w:rPr>
          <w:rFonts w:hint="eastAsia" w:ascii="Times New Roman" w:eastAsia="仿宋_GB2312" w:cs="Times New Roman"/>
          <w:color w:val="auto"/>
          <w:sz w:val="32"/>
          <w:szCs w:val="32"/>
          <w:lang w:val="en-US" w:eastAsia="zh-CN"/>
        </w:rPr>
        <w:t>22</w:t>
      </w:r>
      <w:r>
        <w:rPr>
          <w:rFonts w:ascii="Times New Roman" w:hAnsi="Times New Roman" w:eastAsia="仿宋_GB2312" w:cs="Times New Roman"/>
          <w:color w:val="auto"/>
          <w:sz w:val="32"/>
          <w:szCs w:val="32"/>
        </w:rPr>
        <w:t>日下午1</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:00，地点：工农南路150号政务中心</w:t>
      </w:r>
      <w:r>
        <w:rPr>
          <w:rFonts w:hint="eastAsia" w:ascii="Times New Roman" w:hAnsi="Times New Roman" w:eastAsia="仿宋_GB2312" w:cs="Times New Roman"/>
          <w:color w:val="auto"/>
          <w:sz w:val="32"/>
          <w:szCs w:val="32"/>
        </w:rPr>
        <w:t>主楼六楼</w:t>
      </w:r>
      <w:r>
        <w:rPr>
          <w:rFonts w:hint="eastAsia" w:ascii="Times New Roman" w:eastAsia="仿宋_GB2312" w:cs="Times New Roman"/>
          <w:color w:val="auto"/>
          <w:sz w:val="32"/>
          <w:szCs w:val="32"/>
          <w:lang w:val="en-US" w:eastAsia="zh-CN"/>
        </w:rPr>
        <w:t>西会议室</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上述时间和地点如有变动，另行通知。</w:t>
      </w:r>
    </w:p>
    <w:p>
      <w:pPr>
        <w:keepNext w:val="0"/>
        <w:keepLines w:val="0"/>
        <w:pageBreakBefore w:val="0"/>
        <w:widowControl w:val="0"/>
        <w:kinsoku/>
        <w:wordWrap/>
        <w:overflowPunct/>
        <w:topLinePunct w:val="0"/>
        <w:bidi w:val="0"/>
        <w:adjustRightInd/>
        <w:spacing w:line="560" w:lineRule="exact"/>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r>
        <w:rPr>
          <w:rFonts w:ascii="Times New Roman" w:hAnsi="Times New Roman" w:eastAsia="黑体" w:cs="Times New Roman"/>
          <w:color w:val="auto"/>
          <w:sz w:val="32"/>
          <w:szCs w:val="32"/>
        </w:rPr>
        <w:t xml:space="preserve">  </w:t>
      </w:r>
      <w:r>
        <w:rPr>
          <w:rFonts w:hint="eastAsia" w:ascii="Times New Roman" w:hAnsi="Times New Roman" w:eastAsia="黑体" w:cs="Times New Roman"/>
          <w:color w:val="auto"/>
          <w:sz w:val="32"/>
          <w:szCs w:val="32"/>
          <w:lang w:val="en-US" w:eastAsia="zh-CN"/>
        </w:rPr>
        <w:t>八</w:t>
      </w:r>
      <w:r>
        <w:rPr>
          <w:rFonts w:ascii="Times New Roman" w:hAnsi="Times New Roman" w:eastAsia="黑体" w:cs="Times New Roman"/>
          <w:color w:val="auto"/>
          <w:sz w:val="32"/>
          <w:szCs w:val="32"/>
        </w:rPr>
        <w:t>、联系人</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余荣荣</w:t>
      </w:r>
      <w:r>
        <w:rPr>
          <w:rFonts w:ascii="Times New Roman" w:hAnsi="Times New Roman" w:eastAsia="仿宋_GB2312" w:cs="Times New Roman"/>
          <w:color w:val="auto"/>
          <w:sz w:val="32"/>
          <w:szCs w:val="32"/>
        </w:rPr>
        <w:t>，联系电话：59000800。</w:t>
      </w:r>
    </w:p>
    <w:p>
      <w:pPr>
        <w:keepNext w:val="0"/>
        <w:keepLines w:val="0"/>
        <w:pageBreakBefore w:val="0"/>
        <w:widowControl w:val="0"/>
        <w:tabs>
          <w:tab w:val="left" w:pos="5325"/>
        </w:tabs>
        <w:kinsoku/>
        <w:wordWrap/>
        <w:overflowPunct/>
        <w:topLinePunct w:val="0"/>
        <w:bidi w:val="0"/>
        <w:adjustRightInd/>
        <w:snapToGrid w:val="0"/>
        <w:spacing w:line="560" w:lineRule="exact"/>
        <w:ind w:firstLine="566" w:firstLineChars="177"/>
        <w:contextualSpacing/>
        <w:textAlignment w:val="auto"/>
        <w:rPr>
          <w:rFonts w:hint="eastAsia" w:ascii="Times New Roman" w:hAnsi="Times New Roman" w:eastAsia="方正仿宋_GBK" w:cs="Times New Roman"/>
          <w:color w:val="auto"/>
          <w:sz w:val="32"/>
          <w:szCs w:val="32"/>
        </w:rPr>
      </w:pPr>
      <w:r>
        <w:rPr>
          <w:rFonts w:ascii="Times New Roman" w:hAnsi="Times New Roman" w:eastAsia="黑体" w:cs="Times New Roman"/>
          <w:color w:val="auto"/>
          <w:sz w:val="32"/>
          <w:szCs w:val="32"/>
        </w:rPr>
        <w:t>附件：</w:t>
      </w:r>
      <w:r>
        <w:rPr>
          <w:rFonts w:hint="eastAsia" w:ascii="Times New Roman" w:hAnsi="Times New Roman" w:eastAsia="方正仿宋_GBK" w:cs="Times New Roman"/>
          <w:sz w:val="32"/>
          <w:szCs w:val="32"/>
        </w:rPr>
        <w:t>南通市行政审批局一体化平台网上中介超市涉税专区等功能完善项目</w:t>
      </w:r>
      <w:r>
        <w:rPr>
          <w:rFonts w:hint="eastAsia" w:ascii="Times New Roman" w:hAnsi="Times New Roman" w:eastAsia="方正仿宋_GBK" w:cs="Times New Roman"/>
          <w:kern w:val="2"/>
          <w:sz w:val="32"/>
          <w:szCs w:val="32"/>
          <w:lang w:val="en-US" w:eastAsia="zh-CN" w:bidi="ar-SA"/>
        </w:rPr>
        <w:t>单一来源</w:t>
      </w:r>
      <w:r>
        <w:rPr>
          <w:rFonts w:hint="eastAsia" w:ascii="Times New Roman" w:hAnsi="Times New Roman" w:eastAsia="方正仿宋_GBK" w:cs="Times New Roman"/>
          <w:sz w:val="32"/>
          <w:szCs w:val="32"/>
          <w:lang w:val="en-US" w:eastAsia="zh-CN"/>
        </w:rPr>
        <w:t>采购</w:t>
      </w:r>
      <w:r>
        <w:rPr>
          <w:rFonts w:hint="eastAsia" w:ascii="Times New Roman" w:hAnsi="Times New Roman" w:eastAsia="方正仿宋_GBK" w:cs="Times New Roman"/>
          <w:color w:val="auto"/>
          <w:sz w:val="32"/>
          <w:szCs w:val="32"/>
        </w:rPr>
        <w:t>需求</w:t>
      </w:r>
    </w:p>
    <w:p>
      <w:pPr>
        <w:pStyle w:val="25"/>
      </w:pPr>
    </w:p>
    <w:p>
      <w:pPr>
        <w:keepNext w:val="0"/>
        <w:keepLines w:val="0"/>
        <w:pageBreakBefore w:val="0"/>
        <w:wordWrap/>
        <w:overflowPunct/>
        <w:bidi w:val="0"/>
        <w:spacing w:line="240" w:lineRule="auto"/>
        <w:ind w:right="320"/>
        <w:jc w:val="righ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南通市行政审批局  </w:t>
      </w:r>
    </w:p>
    <w:p>
      <w:pPr>
        <w:keepNext w:val="0"/>
        <w:keepLines w:val="0"/>
        <w:pageBreakBefore w:val="0"/>
        <w:wordWrap/>
        <w:overflowPunct/>
        <w:bidi w:val="0"/>
        <w:spacing w:line="240" w:lineRule="auto"/>
        <w:jc w:val="center"/>
        <w:rPr>
          <w:rFonts w:hint="eastAsia" w:ascii="Times New Roman" w:hAnsi="Times New Roman" w:eastAsia="黑体" w:cs="Times New Roman"/>
          <w:sz w:val="44"/>
          <w:szCs w:val="44"/>
        </w:rPr>
      </w:pP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 xml:space="preserve">  </w:t>
      </w:r>
      <w:r>
        <w:rPr>
          <w:rFonts w:ascii="Times New Roman" w:hAnsi="Times New Roman" w:eastAsia="仿宋_GB2312" w:cs="Times New Roman"/>
          <w:color w:val="auto"/>
          <w:sz w:val="32"/>
          <w:szCs w:val="32"/>
        </w:rPr>
        <w:t>日</w:t>
      </w:r>
    </w:p>
    <w:p>
      <w:pPr>
        <w:jc w:val="center"/>
        <w:rPr>
          <w:rFonts w:ascii="Times New Roman" w:hAnsi="Times New Roman" w:eastAsia="黑体" w:cs="Times New Roman"/>
          <w:sz w:val="44"/>
          <w:szCs w:val="44"/>
        </w:rPr>
      </w:pPr>
    </w:p>
    <w:p>
      <w:pPr>
        <w:widowControl/>
        <w:jc w:val="center"/>
        <w:rPr>
          <w:rFonts w:ascii="Times New Roman" w:hAnsi="Times New Roman" w:eastAsia="黑体" w:cs="Times New Roman"/>
          <w:sz w:val="44"/>
          <w:szCs w:val="44"/>
        </w:rPr>
        <w:sectPr>
          <w:footerReference r:id="rId3" w:type="default"/>
          <w:pgSz w:w="11906" w:h="16838"/>
          <w:pgMar w:top="1560" w:right="1800" w:bottom="1440" w:left="1800" w:header="851" w:footer="657" w:gutter="0"/>
          <w:cols w:space="425" w:num="1"/>
          <w:docGrid w:type="lines" w:linePitch="312" w:charSpace="0"/>
        </w:sectPr>
      </w:pPr>
    </w:p>
    <w:p>
      <w:pPr>
        <w:widowControl/>
        <w:jc w:val="center"/>
        <w:rPr>
          <w:rFonts w:hint="eastAsia" w:ascii="Times New Roman" w:hAnsi="Times New Roman" w:eastAsia="黑体" w:cs="Times New Roman"/>
          <w:sz w:val="44"/>
          <w:szCs w:val="44"/>
        </w:rPr>
      </w:pPr>
      <w:r>
        <w:rPr>
          <w:rFonts w:hint="eastAsia" w:ascii="Times New Roman" w:hAnsi="Times New Roman" w:eastAsia="黑体" w:cs="Times New Roman"/>
          <w:sz w:val="44"/>
          <w:szCs w:val="44"/>
        </w:rPr>
        <w:t>南通市行政审批局</w:t>
      </w:r>
      <w:r>
        <w:rPr>
          <w:rFonts w:hint="eastAsia" w:ascii="Times New Roman" w:hAnsi="Times New Roman" w:eastAsia="黑体" w:cs="Times New Roman"/>
          <w:sz w:val="44"/>
          <w:szCs w:val="44"/>
        </w:rPr>
        <w:t>一体化平台网上中介超市涉税专区等功能完善项目</w:t>
      </w:r>
      <w:r>
        <w:rPr>
          <w:rFonts w:hint="eastAsia" w:ascii="Times New Roman" w:hAnsi="Times New Roman" w:eastAsia="黑体" w:cs="Times New Roman"/>
          <w:sz w:val="44"/>
          <w:szCs w:val="44"/>
        </w:rPr>
        <w:t>单一来源</w:t>
      </w:r>
    </w:p>
    <w:p>
      <w:pPr>
        <w:widowControl/>
        <w:jc w:val="center"/>
        <w:rPr>
          <w:rFonts w:ascii="Times New Roman" w:hAnsi="Times New Roman" w:eastAsia="黑体" w:cs="Times New Roman"/>
          <w:sz w:val="44"/>
          <w:szCs w:val="44"/>
        </w:rPr>
      </w:pPr>
      <w:r>
        <w:rPr>
          <w:rFonts w:hint="eastAsia" w:ascii="Times New Roman" w:hAnsi="Times New Roman" w:eastAsia="黑体" w:cs="Times New Roman"/>
          <w:sz w:val="44"/>
          <w:szCs w:val="44"/>
        </w:rPr>
        <w:t>采购需求</w:t>
      </w:r>
    </w:p>
    <w:p>
      <w:pPr>
        <w:pStyle w:val="4"/>
      </w:pPr>
      <w:r>
        <w:rPr>
          <w:rFonts w:hint="eastAsia"/>
        </w:rPr>
        <w:t>一、项目概况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根据省政务办、省税务局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关于试点上线运行“江苏省网上中介超市”</w:t>
      </w:r>
      <w:r>
        <w:rPr>
          <w:rFonts w:hint="eastAsia" w:ascii="Times New Roman" w:hAnsi="Times New Roman" w:eastAsia="方正仿宋_GBK" w:cs="Times New Roman"/>
          <w:sz w:val="32"/>
          <w:szCs w:val="32"/>
          <w:lang w:val="en-US" w:eastAsia="zh-CN"/>
        </w:rPr>
        <w:t>涉税专业服务专区的通知》、</w:t>
      </w:r>
      <w:r>
        <w:rPr>
          <w:rFonts w:hint="default" w:ascii="Times New Roman" w:hAnsi="Times New Roman" w:eastAsia="方正仿宋_GBK" w:cs="Times New Roman"/>
          <w:sz w:val="32"/>
          <w:szCs w:val="32"/>
          <w:lang w:val="en-US" w:eastAsia="zh-CN"/>
        </w:rPr>
        <w:t>《政务服务事项容缺受理改革工作方案》</w:t>
      </w:r>
      <w:r>
        <w:rPr>
          <w:rFonts w:hint="eastAsia" w:ascii="Times New Roman" w:hAnsi="Times New Roman" w:eastAsia="方正仿宋_GBK" w:cs="Times New Roman"/>
          <w:sz w:val="32"/>
          <w:szCs w:val="32"/>
          <w:lang w:val="en-US" w:eastAsia="zh-CN"/>
        </w:rPr>
        <w:t>以及一体化平台密评改造需求，</w:t>
      </w:r>
      <w:r>
        <w:rPr>
          <w:rFonts w:hint="default" w:ascii="Times New Roman" w:hAnsi="Times New Roman" w:eastAsia="方正仿宋_GBK" w:cs="Times New Roman"/>
          <w:sz w:val="32"/>
          <w:szCs w:val="32"/>
        </w:rPr>
        <w:t>基于南通</w:t>
      </w:r>
      <w:r>
        <w:rPr>
          <w:rFonts w:hint="default"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rPr>
        <w:t>行政审批局现有市县一体化政务服务管理平台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完善</w:t>
      </w:r>
      <w:r>
        <w:rPr>
          <w:rFonts w:hint="eastAsia" w:ascii="Times New Roman" w:hAnsi="Times New Roman" w:eastAsia="方正仿宋_GBK" w:cs="Times New Roman"/>
          <w:sz w:val="32"/>
          <w:szCs w:val="32"/>
        </w:rPr>
        <w:t>中介超市涉税专区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江苏政务服务网容缺受理专栏</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一网通办</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大屏展示等功能，做好一体化平台密评改造，完成试点改革任务，</w:t>
      </w:r>
      <w:r>
        <w:rPr>
          <w:rFonts w:hint="default" w:ascii="Times New Roman" w:hAnsi="Times New Roman" w:eastAsia="方正仿宋_GBK" w:cs="Times New Roman"/>
          <w:sz w:val="32"/>
          <w:szCs w:val="32"/>
        </w:rPr>
        <w:t>增强</w:t>
      </w:r>
      <w:r>
        <w:rPr>
          <w:rFonts w:hint="eastAsia" w:ascii="Times New Roman" w:hAnsi="Times New Roman" w:eastAsia="方正仿宋_GBK" w:cs="Times New Roman"/>
          <w:sz w:val="32"/>
          <w:szCs w:val="32"/>
          <w:lang w:val="en-US" w:eastAsia="zh-CN"/>
        </w:rPr>
        <w:t>一体化平台安全性。</w:t>
      </w:r>
    </w:p>
    <w:p>
      <w:pPr>
        <w:pStyle w:val="4"/>
      </w:pPr>
      <w:r>
        <w:rPr>
          <w:rFonts w:hint="eastAsia"/>
        </w:rPr>
        <w:t>二、优化内容</w:t>
      </w:r>
    </w:p>
    <w:p>
      <w:pPr>
        <w:pStyle w:val="6"/>
        <w:bidi w:val="0"/>
        <w:ind w:left="210" w:leftChars="0" w:firstLine="0" w:firstLineChars="0"/>
        <w:rPr>
          <w:rFonts w:hint="default"/>
        </w:rPr>
      </w:pPr>
      <w:bookmarkStart w:id="3" w:name="_Toc150425302"/>
      <w:r>
        <w:rPr>
          <w:rFonts w:hint="default"/>
        </w:rPr>
        <w:t>中介超市涉税专区</w:t>
      </w:r>
      <w:bookmarkEnd w:id="3"/>
    </w:p>
    <w:p>
      <w:pPr>
        <w:pStyle w:val="7"/>
        <w:bidi w:val="0"/>
        <w:ind w:left="1050" w:leftChars="0" w:firstLine="0" w:firstLineChars="0"/>
        <w:rPr>
          <w:rFonts w:hint="default"/>
        </w:rPr>
      </w:pPr>
      <w:bookmarkStart w:id="4" w:name="_Toc150425303"/>
      <w:r>
        <w:rPr>
          <w:rFonts w:hint="default"/>
        </w:rPr>
        <w:t>中介超市首页改造</w:t>
      </w:r>
      <w:bookmarkEnd w:id="4"/>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原中介超市首页面整体风格进行重新设计，根据要求，首页包含栏目导航、搜索功能、专区入口、服务分类、部门分类、中介机构展示、公告展示、运行概况。</w:t>
      </w:r>
    </w:p>
    <w:p>
      <w:pPr>
        <w:pStyle w:val="8"/>
        <w:bidi w:val="0"/>
        <w:ind w:left="630" w:leftChars="0" w:firstLine="0" w:firstLineChars="0"/>
        <w:rPr>
          <w:rFonts w:hint="default"/>
        </w:rPr>
      </w:pPr>
      <w:r>
        <w:rPr>
          <w:rFonts w:hint="default"/>
        </w:rPr>
        <w:t>页面改版设计</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对中介超市首页进行页面改版，整体页面融合南通市特色服务品牌元素。整体设计体现简洁、特色鲜明和统一风格。页面布局突出重点，讲求效果，布局协调统一，便于使用。运用图片等多种表现手段，使得界面更简洁大气，布局合理，升级优化之后的页面风格较之前的相比，更加一目了然，提升办事人员办事体验。 </w:t>
      </w:r>
    </w:p>
    <w:p>
      <w:pPr>
        <w:pStyle w:val="8"/>
        <w:bidi w:val="0"/>
        <w:ind w:left="630" w:leftChars="0" w:firstLine="0" w:firstLineChars="0"/>
        <w:rPr>
          <w:rFonts w:hint="default"/>
        </w:rPr>
      </w:pPr>
      <w:r>
        <w:rPr>
          <w:rFonts w:hint="default"/>
        </w:rPr>
        <w:t>功能栏目设计</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1、栏目导航</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提供首页栏目导航功能，方便办事群众快速找到对应的服务应用。</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2、搜索功能</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提供中介超市首页搜索功能，支持通过关键字方式搜索中介事项、中介机构、项目公告等信息。</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3、专区入口</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建设专栏专区入口，接入多测合一、涉税服务等专区应用，办事人员通过点击专区入口快速进入对应专区。</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4、服务分类</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支持将各类中介服务事项进行分类，如评估测量、检测服务等，展示不同分类下对应的服务事项，方便办事人找到对应的服务事项。</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5、部门分类</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支持按部门对中介服务事项进行分类，点击某一部门，展示该部门下对应的服务事项信息。</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6、中介机构展示</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建设中介机构专栏，汇聚中介机构信息，通过中介机构专栏对外展示各个中介机构信息，办事人可点击查看中介机构详情。</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7、公告展示</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建设公告展示专区，对外公示项目公告、中选公告等信息，展示项目名称、项目编号、服务分类等信息。</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8、运行概况</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对中介超市整体运行情况进行汇总，支持按照当日、本月、去年等分类展示项目公告数、采购公告数、中选项目数、服务事项数等信息。</w:t>
      </w:r>
    </w:p>
    <w:p>
      <w:pPr>
        <w:pStyle w:val="7"/>
        <w:bidi w:val="0"/>
        <w:ind w:left="1050" w:leftChars="0" w:firstLine="0" w:firstLineChars="0"/>
        <w:rPr>
          <w:rFonts w:hint="default"/>
        </w:rPr>
      </w:pPr>
      <w:bookmarkStart w:id="5" w:name="_Toc150425304"/>
      <w:r>
        <w:rPr>
          <w:rFonts w:hint="default"/>
        </w:rPr>
        <w:t>新增税务专栏页面</w:t>
      </w:r>
      <w:bookmarkEnd w:id="5"/>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建设涉税专业服务专区，对涉税中介进行归类并展示。涉税专业服务专区包括涉税通知公告、涉税服务事项、服务机构、需求公告、运行状况、政策学习模块。</w:t>
      </w:r>
    </w:p>
    <w:p>
      <w:pPr>
        <w:pStyle w:val="7"/>
        <w:bidi w:val="0"/>
        <w:ind w:left="1050" w:leftChars="0" w:firstLine="0" w:firstLineChars="0"/>
        <w:rPr>
          <w:rFonts w:hint="default"/>
        </w:rPr>
      </w:pPr>
      <w:bookmarkStart w:id="6" w:name="_Toc150425305"/>
      <w:r>
        <w:rPr>
          <w:rFonts w:hint="default"/>
        </w:rPr>
        <w:t>新增多测合一专栏页面</w:t>
      </w:r>
      <w:bookmarkEnd w:id="6"/>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针对测绘类中介，单独归类进行页面展示。通知公告、涉税服务事项、服务机构、需求公告、运行状况。</w:t>
      </w:r>
    </w:p>
    <w:p>
      <w:pPr>
        <w:pStyle w:val="7"/>
        <w:bidi w:val="0"/>
        <w:ind w:left="1050" w:leftChars="0" w:firstLine="0" w:firstLineChars="0"/>
        <w:rPr>
          <w:rFonts w:hint="default"/>
        </w:rPr>
      </w:pPr>
      <w:bookmarkStart w:id="7" w:name="_Toc150425306"/>
      <w:r>
        <w:rPr>
          <w:rFonts w:hint="default"/>
        </w:rPr>
        <w:t>涉税通知公告</w:t>
      </w:r>
      <w:bookmarkEnd w:id="7"/>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通知公告后台发布模块，支持维护涉税通知公告信息，对外归类展示。依托涉税通知公告模块，汇聚展示涉税服务相关公告文件，方便办事人了解涉税服务最新资讯。支持查看通知公告详情，了解详细信息。</w:t>
      </w:r>
    </w:p>
    <w:p>
      <w:pPr>
        <w:pStyle w:val="7"/>
        <w:bidi w:val="0"/>
        <w:ind w:left="1050" w:leftChars="0" w:firstLine="0" w:firstLineChars="0"/>
        <w:rPr>
          <w:rFonts w:hint="default"/>
        </w:rPr>
      </w:pPr>
      <w:bookmarkStart w:id="8" w:name="_Toc150425307"/>
      <w:r>
        <w:rPr>
          <w:rFonts w:hint="default"/>
        </w:rPr>
        <w:t>多测合一通知公告</w:t>
      </w:r>
      <w:bookmarkEnd w:id="8"/>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新增多测合一通知公告后台发布模块，支持维护通知公告信息，对外归类展示。依托多测合一通知公告模块，汇聚展示多测合一相关公告文件，方便办事人了解多测合一最新资讯。支持查看通知公告详情，了解详细信息。</w:t>
      </w:r>
    </w:p>
    <w:p>
      <w:pPr>
        <w:pStyle w:val="7"/>
        <w:bidi w:val="0"/>
        <w:ind w:left="1050" w:leftChars="0" w:firstLine="0" w:firstLineChars="0"/>
        <w:rPr>
          <w:rFonts w:hint="default"/>
        </w:rPr>
      </w:pPr>
      <w:bookmarkStart w:id="9" w:name="_Toc150425308"/>
      <w:r>
        <w:rPr>
          <w:rFonts w:hint="default"/>
        </w:rPr>
        <w:t>涉税服务事项、服务机构</w:t>
      </w:r>
      <w:bookmarkEnd w:id="9"/>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建设涉税服务事项、服务机构展示功能，中介服务类别新增税务类，将涉税服务事项、服务机构归类展示。</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1、涉税服务事项</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建设涉税服务事项模块，展示涉税服务事项信息，方便办事人快速找到对应服务事项，点击后可查看事项详细信息。</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2、涉税服务机构</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建设涉税服务机构模块，展示涉税服务机构信息，展示各个服务机构名称、成交项目、入驻时间等信息、</w:t>
      </w:r>
    </w:p>
    <w:p>
      <w:pPr>
        <w:pStyle w:val="7"/>
        <w:bidi w:val="0"/>
        <w:ind w:left="1050" w:leftChars="0" w:firstLine="0" w:firstLineChars="0"/>
        <w:rPr>
          <w:rFonts w:hint="default"/>
        </w:rPr>
      </w:pPr>
      <w:bookmarkStart w:id="10" w:name="_Toc150425309"/>
      <w:r>
        <w:rPr>
          <w:rFonts w:hint="default"/>
        </w:rPr>
        <w:t>多测合一服务事项、服务机构</w:t>
      </w:r>
      <w:bookmarkEnd w:id="10"/>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建设多测合一服务事项、服务机构展示功能，中介服务类别新增测绘类，将涉及的服务事项、服务机构归类展示。</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1、多测合一服务事项</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建设多测合一事项模块，展示多测合一服务事项信息，方便办事人快速找到对应服务事项，点击后可查看事项详细信息。</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2、多测合一服务机构</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建设多测合一服务机构模块，展示多测合一服务机构信息，展示各个服务机构名称、成交项目、入驻时间等信息、</w:t>
      </w:r>
    </w:p>
    <w:p>
      <w:pPr>
        <w:pStyle w:val="7"/>
        <w:bidi w:val="0"/>
        <w:ind w:left="1050" w:leftChars="0" w:firstLine="0" w:firstLineChars="0"/>
        <w:rPr>
          <w:rFonts w:hint="default"/>
        </w:rPr>
      </w:pPr>
      <w:bookmarkStart w:id="11" w:name="_Toc150425310"/>
      <w:r>
        <w:rPr>
          <w:rFonts w:hint="default"/>
        </w:rPr>
        <w:t>涉税需求公告</w:t>
      </w:r>
      <w:bookmarkEnd w:id="11"/>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建设涉税需求公告模块，对外公布需求发布及中选发布信息，展示公司名称、项目名称、中介服务事项等信息。</w:t>
      </w:r>
    </w:p>
    <w:p>
      <w:pPr>
        <w:pStyle w:val="7"/>
        <w:bidi w:val="0"/>
        <w:ind w:left="1050" w:leftChars="0" w:firstLine="0" w:firstLineChars="0"/>
        <w:rPr>
          <w:rFonts w:hint="default"/>
        </w:rPr>
      </w:pPr>
      <w:bookmarkStart w:id="12" w:name="_Toc150425311"/>
      <w:r>
        <w:rPr>
          <w:rFonts w:hint="default"/>
        </w:rPr>
        <w:t>多测合一需求公告</w:t>
      </w:r>
      <w:bookmarkEnd w:id="12"/>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建设多测合一需求公告模块，将涉及测绘的需求进行归类，对外公布需求发布及中选发布信息。</w:t>
      </w:r>
    </w:p>
    <w:p>
      <w:pPr>
        <w:pStyle w:val="7"/>
        <w:bidi w:val="0"/>
        <w:ind w:left="1050" w:leftChars="0" w:firstLine="0" w:firstLineChars="0"/>
        <w:rPr>
          <w:rFonts w:hint="default"/>
        </w:rPr>
      </w:pPr>
      <w:bookmarkStart w:id="13" w:name="_Toc150425312"/>
      <w:r>
        <w:rPr>
          <w:rFonts w:hint="default"/>
        </w:rPr>
        <w:t>涉税政策学习</w:t>
      </w:r>
      <w:bookmarkEnd w:id="13"/>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建设政策</w:t>
      </w:r>
      <w:r>
        <w:rPr>
          <w:rFonts w:hint="default" w:ascii="Times New Roman" w:hAnsi="Times New Roman" w:eastAsia="方正仿宋_GBK" w:cs="Times New Roman"/>
          <w:sz w:val="32"/>
          <w:szCs w:val="32"/>
          <w:lang w:val="en-US" w:eastAsia="zh-CN"/>
        </w:rPr>
        <w:t>学习专区，链接税务政策网站，同时提供咨询入口</w:t>
      </w:r>
      <w:r>
        <w:rPr>
          <w:rFonts w:hint="default" w:ascii="Times New Roman" w:hAnsi="Times New Roman" w:eastAsia="方正仿宋_GBK" w:cs="Times New Roman"/>
          <w:sz w:val="32"/>
          <w:szCs w:val="32"/>
        </w:rPr>
        <w:t>。</w:t>
      </w:r>
    </w:p>
    <w:p>
      <w:pPr>
        <w:pStyle w:val="7"/>
        <w:bidi w:val="0"/>
        <w:ind w:left="1050" w:leftChars="0" w:firstLine="0" w:firstLineChars="0"/>
        <w:rPr>
          <w:rFonts w:hint="default"/>
        </w:rPr>
      </w:pPr>
      <w:bookmarkStart w:id="14" w:name="_Toc150425313"/>
      <w:r>
        <w:rPr>
          <w:rFonts w:hint="default"/>
        </w:rPr>
        <w:t>涉税运行状况</w:t>
      </w:r>
      <w:bookmarkEnd w:id="14"/>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建设涉税运行状况展示页面，对涉税服务运行情况进行汇总，对项目公告、采购公告、中选项目、服务事项、入驻机构、项目业务、成交金额等数据进行统计。</w:t>
      </w:r>
    </w:p>
    <w:p>
      <w:pPr>
        <w:pStyle w:val="7"/>
        <w:bidi w:val="0"/>
        <w:ind w:left="1050" w:leftChars="0" w:firstLine="0" w:firstLineChars="0"/>
        <w:rPr>
          <w:rFonts w:hint="default"/>
        </w:rPr>
      </w:pPr>
      <w:bookmarkStart w:id="15" w:name="_Toc150425314"/>
      <w:r>
        <w:rPr>
          <w:rFonts w:hint="default"/>
        </w:rPr>
        <w:t>多测合一运行状况</w:t>
      </w:r>
      <w:bookmarkEnd w:id="15"/>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建设多测合一运行状况展示界面，设计展示项目公告、采购公告、中选项目、服务事项、入驻机构、项目业主和成交金额等数据。</w:t>
      </w:r>
    </w:p>
    <w:p>
      <w:pPr>
        <w:pStyle w:val="7"/>
        <w:bidi w:val="0"/>
        <w:ind w:left="1050" w:leftChars="0" w:firstLine="0" w:firstLineChars="0"/>
        <w:rPr>
          <w:rFonts w:hint="default"/>
        </w:rPr>
      </w:pPr>
      <w:bookmarkStart w:id="16" w:name="_Toc150425315"/>
      <w:r>
        <w:rPr>
          <w:rFonts w:hint="default"/>
        </w:rPr>
        <w:t>中介机构展示页面</w:t>
      </w:r>
      <w:bookmarkEnd w:id="16"/>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对中介机构展示页面进行优化，在查询界面或中介机构具体展示界面增加TSC信用积分和信用等级数据，并支持链接跳转。</w:t>
      </w:r>
    </w:p>
    <w:p>
      <w:pPr>
        <w:pStyle w:val="7"/>
        <w:bidi w:val="0"/>
        <w:ind w:left="1050" w:leftChars="0" w:firstLine="0" w:firstLineChars="0"/>
        <w:rPr>
          <w:rFonts w:hint="default"/>
        </w:rPr>
      </w:pPr>
      <w:bookmarkStart w:id="17" w:name="_Toc150425316"/>
      <w:r>
        <w:rPr>
          <w:rFonts w:hint="default"/>
        </w:rPr>
        <w:t>测绘机构推送多测合一平台</w:t>
      </w:r>
      <w:bookmarkEnd w:id="17"/>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将中介超市中涉及测绘的中介机构信息、人员信息、资质证书信息等推送至区县多测合一平台。</w:t>
      </w:r>
    </w:p>
    <w:p>
      <w:pPr>
        <w:pStyle w:val="6"/>
        <w:bidi w:val="0"/>
        <w:ind w:left="210" w:leftChars="0" w:firstLine="0" w:firstLineChars="0"/>
        <w:rPr>
          <w:rFonts w:hint="default"/>
        </w:rPr>
      </w:pPr>
      <w:bookmarkStart w:id="18" w:name="_Toc150425317"/>
      <w:r>
        <w:rPr>
          <w:rFonts w:hint="default"/>
        </w:rPr>
        <w:t>江苏政务服务网容缺受理专栏</w:t>
      </w:r>
      <w:bookmarkEnd w:id="18"/>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江苏政务服务网南通旗舰店的便民服务栏目，新增开设“容缺受理”栏目，设计图标及页面，用于发布容缺受理实施办法、事项清单信息，用户可在便民服务专区查看容缺受理相关的资讯。提供后台维护功能，系统后台可进行发布信息新增、删除等基本维护功能。</w:t>
      </w:r>
    </w:p>
    <w:p>
      <w:pPr>
        <w:pStyle w:val="6"/>
        <w:bidi w:val="0"/>
        <w:ind w:left="210" w:leftChars="0" w:firstLine="0" w:firstLineChars="0"/>
        <w:rPr>
          <w:rFonts w:hint="default"/>
        </w:rPr>
      </w:pPr>
      <w:bookmarkStart w:id="19" w:name="_Toc150425318"/>
      <w:r>
        <w:rPr>
          <w:rFonts w:hint="default"/>
        </w:rPr>
        <w:t>一体化平台密评改造</w:t>
      </w:r>
      <w:bookmarkEnd w:id="19"/>
    </w:p>
    <w:p>
      <w:pPr>
        <w:pStyle w:val="7"/>
        <w:bidi w:val="0"/>
        <w:ind w:left="1050" w:leftChars="0" w:firstLine="0" w:firstLineChars="0"/>
        <w:rPr>
          <w:rFonts w:hint="default"/>
        </w:rPr>
      </w:pPr>
      <w:bookmarkStart w:id="20" w:name="_Toc150425319"/>
      <w:r>
        <w:rPr>
          <w:rFonts w:hint="default"/>
        </w:rPr>
        <w:t>U</w:t>
      </w:r>
      <w:r>
        <w:rPr>
          <w:rFonts w:hint="default"/>
          <w:lang w:val="en-US" w:eastAsia="zh-CN"/>
        </w:rPr>
        <w:t>key</w:t>
      </w:r>
      <w:r>
        <w:rPr>
          <w:rFonts w:hint="default"/>
        </w:rPr>
        <w:t>登录对接</w:t>
      </w:r>
      <w:bookmarkEnd w:id="20"/>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根据密评要求，对一体化平台登录方式进行改造，对接国密</w:t>
      </w:r>
      <w:r>
        <w:rPr>
          <w:rFonts w:hint="default" w:ascii="Times New Roman" w:hAnsi="Times New Roman" w:eastAsia="方正仿宋_GBK" w:cs="Times New Roman"/>
          <w:sz w:val="32"/>
          <w:szCs w:val="32"/>
          <w:lang w:val="en-US" w:eastAsia="zh-CN"/>
        </w:rPr>
        <w:t>ukey</w:t>
      </w:r>
      <w:r>
        <w:rPr>
          <w:rFonts w:hint="default" w:ascii="Times New Roman" w:hAnsi="Times New Roman" w:eastAsia="方正仿宋_GBK" w:cs="Times New Roman"/>
          <w:sz w:val="32"/>
          <w:szCs w:val="32"/>
        </w:rPr>
        <w:t>，支持国密</w:t>
      </w:r>
      <w:r>
        <w:rPr>
          <w:rFonts w:hint="default" w:ascii="Times New Roman" w:hAnsi="Times New Roman" w:eastAsia="方正仿宋_GBK" w:cs="Times New Roman"/>
          <w:sz w:val="32"/>
          <w:szCs w:val="32"/>
          <w:lang w:val="en-US" w:eastAsia="zh-CN"/>
        </w:rPr>
        <w:t>ukey</w:t>
      </w:r>
      <w:r>
        <w:rPr>
          <w:rFonts w:hint="default" w:ascii="Times New Roman" w:hAnsi="Times New Roman" w:eastAsia="方正仿宋_GBK" w:cs="Times New Roman"/>
          <w:sz w:val="32"/>
          <w:szCs w:val="32"/>
        </w:rPr>
        <w:t>登陆。</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对一体化平台用户登录流程进行改造，支持用户绑定</w:t>
      </w:r>
      <w:r>
        <w:rPr>
          <w:rFonts w:hint="default" w:ascii="Times New Roman" w:hAnsi="Times New Roman" w:eastAsia="方正仿宋_GBK" w:cs="Times New Roman"/>
          <w:sz w:val="32"/>
          <w:szCs w:val="32"/>
          <w:lang w:val="en-US" w:eastAsia="zh-CN"/>
        </w:rPr>
        <w:t>ukey</w:t>
      </w:r>
      <w:r>
        <w:rPr>
          <w:rFonts w:hint="default" w:ascii="Times New Roman" w:hAnsi="Times New Roman" w:eastAsia="方正仿宋_GBK" w:cs="Times New Roman"/>
          <w:sz w:val="32"/>
          <w:szCs w:val="32"/>
        </w:rPr>
        <w:t>，在登录过程中添加pin和签名值逻辑，客户端验证pin码，如果成功则调用签名接口，将签名值和用户名、密码等一同提交到服务端，服务端添加验证签名的逻辑，验证失败则登录不成功。</w:t>
      </w:r>
    </w:p>
    <w:p>
      <w:pPr>
        <w:pStyle w:val="7"/>
        <w:bidi w:val="0"/>
        <w:ind w:left="1050" w:leftChars="0" w:firstLine="0" w:firstLineChars="0"/>
        <w:rPr>
          <w:rFonts w:hint="default"/>
        </w:rPr>
      </w:pPr>
      <w:bookmarkStart w:id="21" w:name="_Toc150425320"/>
      <w:r>
        <w:rPr>
          <w:rFonts w:hint="default"/>
        </w:rPr>
        <w:t>密码机对接</w:t>
      </w:r>
      <w:bookmarkEnd w:id="21"/>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对接符合国密要求的密码机，将相关涉密数据进行加密存储，根据提供的密钥服务（KSS）接口，对数据库表进行加密，在页面上解密后进行展示。</w:t>
      </w:r>
    </w:p>
    <w:p>
      <w:pPr>
        <w:pStyle w:val="6"/>
        <w:bidi w:val="0"/>
        <w:ind w:left="210" w:leftChars="0" w:firstLine="0" w:firstLineChars="0"/>
        <w:rPr>
          <w:rFonts w:hint="default"/>
        </w:rPr>
      </w:pPr>
      <w:bookmarkStart w:id="22" w:name="_Toc150425321"/>
      <w:r>
        <w:rPr>
          <w:rFonts w:hint="default"/>
        </w:rPr>
        <w:t>大屏页面新增</w:t>
      </w:r>
      <w:bookmarkEnd w:id="22"/>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设计一网通办页面，电脑端、移动端、自助端、窗口端四个维度，将政务服务运行核心系统的各项关键数据智能转换成可视化的几何图形、图表或其他直观形象，按需组合并展示在同一个大屏界面上，清晰有效地传达南通市政务服务运行信息，使用户实时掌握一手资料，快速理解数据、分析结果并获取所需信息。</w:t>
      </w:r>
    </w:p>
    <w:p>
      <w:pPr>
        <w:pStyle w:val="7"/>
        <w:bidi w:val="0"/>
        <w:ind w:left="1050" w:leftChars="0" w:firstLine="0" w:firstLineChars="0"/>
        <w:rPr>
          <w:rFonts w:hint="default"/>
        </w:rPr>
      </w:pPr>
      <w:bookmarkStart w:id="23" w:name="_Toc150425322"/>
      <w:r>
        <w:rPr>
          <w:rFonts w:hint="default"/>
        </w:rPr>
        <w:t>一网通办页面设计</w:t>
      </w:r>
      <w:bookmarkEnd w:id="23"/>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一网通办可视化页面进行设计，打造南通市政务服务运行情况展示入口，统计电脑端、移动端、自助端、窗口端四个维度的政务服务运行数据，将政务服务运行核心系统的各项关键数据智能转换成可视化的几何图形、图表或其他直观形象，按需组合并展示在同一个大屏界面上。系统提供丰富的信息展示及发布方式，包括趋势图、比例图、柱状图等大量的图形分析。</w:t>
      </w:r>
    </w:p>
    <w:p>
      <w:pPr>
        <w:pStyle w:val="7"/>
        <w:bidi w:val="0"/>
        <w:ind w:left="1050" w:leftChars="0" w:firstLine="0" w:firstLineChars="0"/>
        <w:rPr>
          <w:rFonts w:hint="default"/>
        </w:rPr>
      </w:pPr>
      <w:bookmarkStart w:id="24" w:name="_Toc150425323"/>
      <w:r>
        <w:rPr>
          <w:rFonts w:hint="default"/>
        </w:rPr>
        <w:t>电脑端</w:t>
      </w:r>
      <w:bookmarkEnd w:id="24"/>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对南通市PC端政务服务系统的运行情况进行统计，并通过可视化方式进行呈现，围绕入驻事项、用户量、访问量和办件量等进行多维度分析。</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入驻事项：包括旗舰店入驻事项、依申请权力事项、公共服务事项、入驻率等；</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用户量：包括全市注册用户总量、个人用户总量、法人用户总量等；</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访问量：包括上年度和本年度的全市旗舰店访问量；</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办件量：包括上年度和本年度的市本级网上办件量。</w:t>
      </w:r>
    </w:p>
    <w:p>
      <w:pPr>
        <w:pStyle w:val="7"/>
        <w:bidi w:val="0"/>
        <w:ind w:left="1050" w:leftChars="0" w:firstLine="0" w:firstLineChars="0"/>
        <w:rPr>
          <w:rFonts w:hint="default"/>
        </w:rPr>
      </w:pPr>
      <w:bookmarkStart w:id="25" w:name="_Toc150425324"/>
      <w:r>
        <w:rPr>
          <w:rFonts w:hint="default"/>
        </w:rPr>
        <w:t>移动端</w:t>
      </w:r>
      <w:bookmarkEnd w:id="25"/>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对南通市移动端政务服务系统的运行情况进行统计，并通过可视化方式进行呈现，围绕苏服办移动端和省定移动应用接入率等进行多维度分析。</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苏服办移动端：包括本年度活跃用户、上月度活跃用户、本年度访问量等；</w:t>
      </w:r>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省定移动应用接入率：包括上年度和本年度的接入数和接入率。</w:t>
      </w:r>
    </w:p>
    <w:p>
      <w:pPr>
        <w:pStyle w:val="7"/>
        <w:bidi w:val="0"/>
        <w:ind w:left="1050" w:leftChars="0" w:firstLine="0" w:firstLineChars="0"/>
        <w:rPr>
          <w:rFonts w:hint="default"/>
        </w:rPr>
      </w:pPr>
      <w:bookmarkStart w:id="26" w:name="_Toc150425325"/>
      <w:r>
        <w:rPr>
          <w:rFonts w:hint="default"/>
        </w:rPr>
        <w:t>自助端</w:t>
      </w:r>
      <w:bookmarkEnd w:id="26"/>
    </w:p>
    <w:p>
      <w:pPr>
        <w:pStyle w:val="5"/>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南通市范围内自助端政务服务系统的运行情况进行统计，并通过可视化方式进行呈现，围绕自助终端事项、自助机投放数、通办省份、本年度访问量等进行多维度分析。同时获取南通市域范围内各辖区的自助机投放数量，通过折线图的方式进行展示，图形具备数量动态展示效果。</w:t>
      </w:r>
    </w:p>
    <w:p>
      <w:pPr>
        <w:pStyle w:val="7"/>
        <w:bidi w:val="0"/>
        <w:ind w:left="1050" w:leftChars="0" w:firstLine="0" w:firstLineChars="0"/>
        <w:rPr>
          <w:rFonts w:hint="default"/>
        </w:rPr>
      </w:pPr>
      <w:bookmarkStart w:id="27" w:name="_Toc150425326"/>
      <w:r>
        <w:rPr>
          <w:rFonts w:hint="default"/>
        </w:rPr>
        <w:t>窗口端</w:t>
      </w:r>
      <w:bookmarkEnd w:id="27"/>
    </w:p>
    <w:p>
      <w:pPr>
        <w:pStyle w:val="5"/>
        <w:rPr>
          <w:rFonts w:hint="default" w:ascii="Times New Roman" w:hAnsi="Times New Roman" w:cs="Times New Roman"/>
          <w:sz w:val="32"/>
          <w:szCs w:val="32"/>
        </w:rPr>
      </w:pPr>
      <w:r>
        <w:rPr>
          <w:rFonts w:hint="default" w:ascii="Times New Roman" w:hAnsi="Times New Roman" w:eastAsia="方正仿宋_GBK" w:cs="Times New Roman"/>
          <w:sz w:val="32"/>
          <w:szCs w:val="32"/>
        </w:rPr>
        <w:t>对南通市范围内线下大厅窗口端的情况进行统计，并通过可视化方式进行呈现，围绕全市窗口数量、全市政银合作服务网点数量、乡镇（街道）便民服务中心数量、村（社区）便民服务站数量、市本级窗口办件量（按上年度和本年度划分）等进行多维度分析。同时获取南通市域范围内各辖区的窗口数量，通过折线图的方式进行展示，图形具备数量动态展示效果。</w:t>
      </w:r>
    </w:p>
    <w:p/>
    <w:p>
      <w:pPr>
        <w:pStyle w:val="18"/>
        <w:ind w:left="1260"/>
      </w:pPr>
    </w:p>
    <w:p>
      <w:pPr>
        <w:tabs>
          <w:tab w:val="left" w:pos="5325"/>
        </w:tabs>
        <w:snapToGrid w:val="0"/>
        <w:spacing w:line="560" w:lineRule="exact"/>
        <w:contextualSpacing/>
        <w:rPr>
          <w:rFonts w:ascii="黑体" w:hAnsi="黑体" w:eastAsia="黑体" w:cs="Times New Roman"/>
          <w:sz w:val="32"/>
          <w:szCs w:val="32"/>
        </w:rPr>
      </w:pPr>
      <w:r>
        <w:rPr>
          <w:rFonts w:hint="eastAsia" w:ascii="黑体" w:hAnsi="黑体" w:eastAsia="黑体" w:cs="Times New Roman"/>
          <w:sz w:val="32"/>
          <w:szCs w:val="32"/>
        </w:rPr>
        <w:t>三、建设要求</w:t>
      </w:r>
    </w:p>
    <w:p>
      <w:pPr>
        <w:widowControl/>
        <w:spacing w:line="360" w:lineRule="auto"/>
        <w:ind w:firstLine="646" w:firstLineChars="202"/>
        <w:rPr>
          <w:rFonts w:ascii="仿宋" w:hAnsi="仿宋" w:eastAsia="仿宋" w:cs="宋体"/>
          <w:sz w:val="32"/>
          <w:szCs w:val="32"/>
        </w:rPr>
      </w:pPr>
      <w:r>
        <w:rPr>
          <w:rFonts w:hint="eastAsia" w:ascii="仿宋" w:hAnsi="仿宋" w:eastAsia="仿宋" w:cs="宋体"/>
          <w:sz w:val="32"/>
          <w:szCs w:val="32"/>
        </w:rPr>
        <w:t>1.交货期（服务时间）：合同签订后1个月内完成系统完成系统开发、部署，进入试运行阶段；试运行</w:t>
      </w:r>
      <w:r>
        <w:rPr>
          <w:rFonts w:hint="eastAsia" w:ascii="仿宋" w:hAnsi="仿宋" w:eastAsia="仿宋" w:cs="宋体"/>
          <w:sz w:val="32"/>
          <w:szCs w:val="32"/>
          <w:lang w:val="en-US" w:eastAsia="zh-CN"/>
        </w:rPr>
        <w:t>10天</w:t>
      </w:r>
      <w:r>
        <w:rPr>
          <w:rFonts w:hint="eastAsia" w:ascii="仿宋" w:hAnsi="仿宋" w:eastAsia="仿宋" w:cs="宋体"/>
          <w:sz w:val="32"/>
          <w:szCs w:val="32"/>
        </w:rPr>
        <w:t>内完善系统，进入正式运行阶段。</w:t>
      </w:r>
    </w:p>
    <w:p>
      <w:pPr>
        <w:widowControl/>
        <w:spacing w:line="360" w:lineRule="auto"/>
        <w:ind w:firstLine="646" w:firstLineChars="202"/>
        <w:rPr>
          <w:rFonts w:ascii="仿宋" w:hAnsi="仿宋" w:eastAsia="仿宋" w:cs="宋体"/>
          <w:sz w:val="32"/>
          <w:szCs w:val="32"/>
        </w:rPr>
      </w:pPr>
      <w:r>
        <w:rPr>
          <w:rFonts w:hint="eastAsia" w:ascii="仿宋" w:hAnsi="仿宋" w:eastAsia="仿宋" w:cs="宋体"/>
          <w:sz w:val="32"/>
          <w:szCs w:val="32"/>
        </w:rPr>
        <w:t>2.交货（服务）地点：招标人指定地点。</w:t>
      </w:r>
    </w:p>
    <w:p>
      <w:pPr>
        <w:widowControl/>
        <w:spacing w:line="360" w:lineRule="auto"/>
        <w:ind w:firstLine="646" w:firstLineChars="202"/>
        <w:rPr>
          <w:rFonts w:ascii="仿宋" w:hAnsi="仿宋" w:eastAsia="仿宋" w:cs="宋体"/>
          <w:sz w:val="32"/>
          <w:szCs w:val="32"/>
        </w:rPr>
      </w:pPr>
      <w:r>
        <w:rPr>
          <w:rFonts w:hint="eastAsia" w:ascii="仿宋" w:hAnsi="仿宋" w:eastAsia="仿宋" w:cs="宋体"/>
          <w:sz w:val="32"/>
          <w:szCs w:val="32"/>
        </w:rPr>
        <w:t>3.质保服务：系统验收交付之日起所有软件系统一年免费原厂质保。</w:t>
      </w:r>
    </w:p>
    <w:p>
      <w:pPr>
        <w:widowControl/>
        <w:spacing w:line="360" w:lineRule="auto"/>
        <w:ind w:firstLine="646" w:firstLineChars="202"/>
        <w:rPr>
          <w:rFonts w:ascii="仿宋" w:hAnsi="仿宋" w:eastAsia="仿宋" w:cs="宋体"/>
          <w:sz w:val="32"/>
          <w:szCs w:val="32"/>
        </w:rPr>
      </w:pPr>
      <w:r>
        <w:rPr>
          <w:rFonts w:hint="eastAsia" w:ascii="仿宋" w:hAnsi="仿宋" w:eastAsia="仿宋" w:cs="宋体"/>
          <w:sz w:val="32"/>
          <w:szCs w:val="32"/>
        </w:rPr>
        <w:t>4.文档服务：供应商必须向用户提供本项目中所有产品的操作手册等产品技术手册，所提交文档的质量和完善程度将作为系统验收通过的重要依据。</w:t>
      </w:r>
    </w:p>
    <w:p>
      <w:pPr>
        <w:pStyle w:val="37"/>
        <w:tabs>
          <w:tab w:val="left" w:pos="5325"/>
        </w:tabs>
        <w:snapToGrid w:val="0"/>
        <w:spacing w:line="560" w:lineRule="exact"/>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合同签订</w:t>
      </w:r>
    </w:p>
    <w:p>
      <w:pPr>
        <w:widowControl/>
        <w:spacing w:line="360" w:lineRule="auto"/>
        <w:ind w:firstLine="646" w:firstLineChars="202"/>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中标结果</w:t>
      </w:r>
      <w:r>
        <w:rPr>
          <w:rFonts w:hint="eastAsia" w:ascii="Times New Roman" w:hAnsi="Times New Roman" w:eastAsia="方正仿宋_GBK" w:cs="Times New Roman"/>
          <w:sz w:val="32"/>
          <w:szCs w:val="32"/>
          <w:lang w:val="zh-CN"/>
        </w:rPr>
        <w:t>公示结束后，</w:t>
      </w:r>
      <w:r>
        <w:rPr>
          <w:rFonts w:hint="eastAsia" w:ascii="仿宋" w:hAnsi="仿宋" w:eastAsia="仿宋" w:cs="宋体"/>
          <w:sz w:val="32"/>
          <w:szCs w:val="32"/>
        </w:rPr>
        <w:t>1</w:t>
      </w:r>
      <w:r>
        <w:rPr>
          <w:rFonts w:hint="eastAsia" w:ascii="仿宋" w:hAnsi="仿宋" w:eastAsia="仿宋" w:cs="宋体"/>
          <w:sz w:val="32"/>
          <w:szCs w:val="32"/>
          <w:lang w:val="en-US" w:eastAsia="zh-CN"/>
        </w:rPr>
        <w:t>0</w:t>
      </w:r>
      <w:r>
        <w:rPr>
          <w:rFonts w:hint="eastAsia" w:ascii="仿宋" w:hAnsi="仿宋" w:eastAsia="仿宋" w:cs="宋体"/>
          <w:sz w:val="32"/>
          <w:szCs w:val="32"/>
        </w:rPr>
        <w:t>个工作日内签订正式合同。</w:t>
      </w:r>
    </w:p>
    <w:p>
      <w:pPr>
        <w:pStyle w:val="37"/>
        <w:tabs>
          <w:tab w:val="left" w:pos="5325"/>
        </w:tabs>
        <w:snapToGrid w:val="0"/>
        <w:spacing w:line="560" w:lineRule="exact"/>
        <w:ind w:firstLine="0" w:firstLineChars="0"/>
        <w:contextualSpacing/>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付款</w:t>
      </w:r>
      <w:r>
        <w:rPr>
          <w:rFonts w:hint="eastAsia" w:ascii="黑体" w:hAnsi="黑体" w:eastAsia="黑体" w:cs="Times New Roman"/>
          <w:sz w:val="32"/>
          <w:szCs w:val="32"/>
        </w:rPr>
        <w:t>方式</w:t>
      </w:r>
    </w:p>
    <w:bookmarkEnd w:id="0"/>
    <w:bookmarkEnd w:id="1"/>
    <w:bookmarkEnd w:id="2"/>
    <w:p>
      <w:pPr>
        <w:pStyle w:val="25"/>
        <w:keepNext w:val="0"/>
        <w:keepLines w:val="0"/>
        <w:pageBreakBefore w:val="0"/>
        <w:widowControl w:val="0"/>
        <w:numPr>
          <w:ilvl w:val="0"/>
          <w:numId w:val="0"/>
        </w:numPr>
        <w:kinsoku/>
        <w:wordWrap/>
        <w:overflowPunct/>
        <w:topLinePunct w:val="0"/>
        <w:autoSpaceDE/>
        <w:autoSpaceDN/>
        <w:bidi w:val="0"/>
        <w:adjustRightInd/>
        <w:snapToGrid/>
        <w:spacing w:after="0" w:line="580" w:lineRule="exact"/>
        <w:ind w:firstLine="640" w:firstLineChars="200"/>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bookmarkStart w:id="28" w:name="_Toc344724549"/>
      <w:r>
        <w:rPr>
          <w:rFonts w:hint="default" w:ascii="Times New Roman" w:hAnsi="Times New Roman" w:eastAsia="方正仿宋_GBK" w:cs="Times New Roman"/>
          <w:color w:val="000000" w:themeColor="text1"/>
          <w:sz w:val="32"/>
          <w:szCs w:val="32"/>
          <w14:textFill>
            <w14:solidFill>
              <w14:schemeClr w14:val="tx1"/>
            </w14:solidFill>
          </w14:textFill>
        </w:rPr>
        <w:t>按照中标价签订合同，发票送达后15个工作日内支付合同价款的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color w:val="000000" w:themeColor="text1"/>
          <w:sz w:val="32"/>
          <w:szCs w:val="32"/>
          <w14:textFill>
            <w14:solidFill>
              <w14:schemeClr w14:val="tx1"/>
            </w14:solidFill>
          </w14:textFill>
        </w:rPr>
        <w:t>0%，验收合格后15个工作日内支付合同价款的</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5%，</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余款5%于项目免费</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运维服务期满通过绩效评价后支付</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p>
    <w:p>
      <w:pPr>
        <w:tabs>
          <w:tab w:val="left" w:pos="5325"/>
        </w:tabs>
        <w:snapToGrid w:val="0"/>
        <w:spacing w:line="560" w:lineRule="exact"/>
        <w:contextualSpacing/>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投标供应商资格要求</w:t>
      </w:r>
    </w:p>
    <w:p>
      <w:pPr>
        <w:pStyle w:val="37"/>
        <w:autoSpaceDE w:val="0"/>
        <w:autoSpaceDN w:val="0"/>
        <w:adjustRightInd w:val="0"/>
        <w:snapToGrid w:val="0"/>
        <w:spacing w:line="560" w:lineRule="exact"/>
        <w:ind w:firstLine="640"/>
        <w:contextualSpacing/>
        <w:jc w:val="left"/>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32"/>
          <w:lang w:val="zh-CN"/>
        </w:rPr>
        <w:t>符合《中华人民共和国政府采购法》第22条规定；</w:t>
      </w:r>
    </w:p>
    <w:p>
      <w:pPr>
        <w:pStyle w:val="37"/>
        <w:autoSpaceDE w:val="0"/>
        <w:autoSpaceDN w:val="0"/>
        <w:adjustRightInd w:val="0"/>
        <w:snapToGrid w:val="0"/>
        <w:spacing w:line="560" w:lineRule="exact"/>
        <w:ind w:right="-197" w:rightChars="-94" w:firstLine="640"/>
        <w:contextualSpacing/>
        <w:jc w:val="left"/>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zh-CN"/>
        </w:rPr>
        <w:t>具有合法经营资格并能承担完全民事责任的独立法人。</w:t>
      </w:r>
    </w:p>
    <w:p>
      <w:pPr>
        <w:pStyle w:val="37"/>
        <w:autoSpaceDE w:val="0"/>
        <w:autoSpaceDN w:val="0"/>
        <w:adjustRightInd w:val="0"/>
        <w:snapToGrid w:val="0"/>
        <w:spacing w:line="560" w:lineRule="exact"/>
        <w:ind w:firstLine="640"/>
        <w:contextualSpacing/>
        <w:jc w:val="left"/>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val="zh-CN"/>
        </w:rPr>
        <w:t>未被“信用中国”网站列入失信被执行人、重大税收违法案件当事人名单、政府采购严重失信行为记录名单。</w:t>
      </w:r>
    </w:p>
    <w:p>
      <w:pPr>
        <w:pStyle w:val="37"/>
        <w:tabs>
          <w:tab w:val="left" w:pos="5325"/>
        </w:tabs>
        <w:snapToGrid w:val="0"/>
        <w:spacing w:line="560" w:lineRule="exact"/>
        <w:ind w:firstLine="0" w:firstLineChars="0"/>
        <w:contextualSpacing/>
        <w:rPr>
          <w:rFonts w:ascii="Times New Roman" w:hAnsi="Times New Roman" w:eastAsia="方正仿宋_GBK" w:cs="Times New Roman"/>
          <w:sz w:val="32"/>
          <w:szCs w:val="32"/>
        </w:rPr>
      </w:pPr>
      <w:r>
        <w:rPr>
          <w:rFonts w:hint="eastAsia" w:ascii="黑体" w:hAnsi="黑体" w:eastAsia="黑体" w:cs="Times New Roman"/>
          <w:sz w:val="32"/>
          <w:szCs w:val="32"/>
        </w:rPr>
        <w:t>七、投标文件的组成</w:t>
      </w:r>
    </w:p>
    <w:p>
      <w:pPr>
        <w:pStyle w:val="39"/>
        <w:autoSpaceDE w:val="0"/>
        <w:autoSpaceDN w:val="0"/>
        <w:adjustRightInd w:val="0"/>
        <w:spacing w:line="560" w:lineRule="exact"/>
        <w:ind w:right="-197" w:rightChars="-94" w:firstLine="640"/>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lang w:val="zh-CN"/>
        </w:rPr>
        <w:t>1、法定代表人参加投标的，提供法定代表人身份证复印件（加盖公章）；授权委托人参加投标的，提供法定代表人授权委托书、法定代表人和授权委托人身份证复印件（加盖公章）；</w:t>
      </w:r>
    </w:p>
    <w:p>
      <w:pPr>
        <w:pStyle w:val="37"/>
        <w:autoSpaceDE w:val="0"/>
        <w:autoSpaceDN w:val="0"/>
        <w:adjustRightInd w:val="0"/>
        <w:snapToGrid w:val="0"/>
        <w:spacing w:line="560" w:lineRule="exact"/>
        <w:ind w:firstLine="640"/>
        <w:contextualSpacing/>
        <w:jc w:val="left"/>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sz w:val="32"/>
          <w:szCs w:val="32"/>
          <w:lang w:val="zh-CN"/>
        </w:rPr>
        <w:t>营业执照复印件（加盖公章）；</w:t>
      </w:r>
    </w:p>
    <w:p>
      <w:pPr>
        <w:pStyle w:val="37"/>
        <w:autoSpaceDE w:val="0"/>
        <w:autoSpaceDN w:val="0"/>
        <w:adjustRightInd w:val="0"/>
        <w:snapToGrid w:val="0"/>
        <w:spacing w:line="560" w:lineRule="exact"/>
        <w:ind w:firstLine="640"/>
        <w:contextualSpacing/>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3、信用中国企业信用信息报告</w:t>
      </w:r>
      <w:r>
        <w:rPr>
          <w:rFonts w:hint="eastAsia" w:ascii="Times New Roman" w:hAnsi="Times New Roman" w:eastAsia="方正仿宋_GBK" w:cs="Times New Roman"/>
          <w:sz w:val="32"/>
          <w:szCs w:val="32"/>
          <w:lang w:val="zh-CN"/>
        </w:rPr>
        <w:t>（加盖公章）；</w:t>
      </w:r>
    </w:p>
    <w:p>
      <w:pPr>
        <w:pStyle w:val="39"/>
        <w:autoSpaceDE w:val="0"/>
        <w:autoSpaceDN w:val="0"/>
        <w:adjustRightInd w:val="0"/>
        <w:spacing w:line="560" w:lineRule="exact"/>
        <w:ind w:right="-197" w:rightChars="-94" w:firstLine="640"/>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val="zh-CN"/>
        </w:rPr>
        <w:t>投标承诺函（</w:t>
      </w:r>
      <w:r>
        <w:rPr>
          <w:rFonts w:hint="eastAsia" w:ascii="Times New Roman" w:hAnsi="Times New Roman" w:eastAsia="方正仿宋_GBK" w:cs="Times New Roman"/>
          <w:sz w:val="32"/>
          <w:szCs w:val="32"/>
        </w:rPr>
        <w:t>见附件一</w:t>
      </w:r>
      <w:r>
        <w:rPr>
          <w:rFonts w:hint="eastAsia" w:ascii="Times New Roman" w:hAnsi="Times New Roman" w:eastAsia="方正仿宋_GBK" w:cs="Times New Roman"/>
          <w:sz w:val="32"/>
          <w:szCs w:val="32"/>
          <w:lang w:val="zh-CN"/>
        </w:rPr>
        <w:t>）；</w:t>
      </w:r>
    </w:p>
    <w:p>
      <w:pPr>
        <w:pStyle w:val="39"/>
        <w:autoSpaceDE w:val="0"/>
        <w:autoSpaceDN w:val="0"/>
        <w:adjustRightInd w:val="0"/>
        <w:spacing w:line="560" w:lineRule="exact"/>
        <w:ind w:right="-197" w:rightChars="-94" w:firstLine="640"/>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5、</w:t>
      </w:r>
      <w:r>
        <w:rPr>
          <w:rFonts w:hint="eastAsia" w:ascii="Times New Roman" w:hAnsi="Times New Roman" w:eastAsia="方正仿宋_GBK" w:cs="Times New Roman"/>
          <w:sz w:val="32"/>
          <w:szCs w:val="32"/>
          <w:lang w:val="en-US" w:eastAsia="zh-CN"/>
        </w:rPr>
        <w:t>单一来源谈判</w:t>
      </w:r>
      <w:r>
        <w:rPr>
          <w:rFonts w:hint="eastAsia" w:ascii="Times New Roman" w:hAnsi="Times New Roman" w:eastAsia="方正仿宋_GBK" w:cs="Times New Roman"/>
          <w:sz w:val="32"/>
          <w:szCs w:val="32"/>
        </w:rPr>
        <w:t>响应方案</w:t>
      </w:r>
      <w:r>
        <w:rPr>
          <w:rFonts w:hint="eastAsia" w:ascii="Times New Roman" w:hAnsi="Times New Roman" w:eastAsia="方正仿宋_GBK" w:cs="Times New Roman"/>
          <w:sz w:val="32"/>
          <w:szCs w:val="32"/>
          <w:lang w:val="zh-CN"/>
        </w:rPr>
        <w:t>；</w:t>
      </w:r>
    </w:p>
    <w:p>
      <w:pPr>
        <w:snapToGrid w:val="0"/>
        <w:spacing w:line="560" w:lineRule="exact"/>
        <w:ind w:firstLine="640" w:firstLineChars="200"/>
        <w:rPr>
          <w:rFonts w:ascii="Times New Roman" w:hAnsi="Times New Roman" w:eastAsia="方正仿宋_GBK" w:cs="Times New Roman"/>
          <w:sz w:val="32"/>
          <w:szCs w:val="32"/>
          <w:lang w:val="zh-CN"/>
        </w:rPr>
      </w:pPr>
      <w:r>
        <w:rPr>
          <w:rFonts w:hint="eastAsia" w:ascii="Times New Roman" w:hAnsi="Times New Roman" w:eastAsia="方正仿宋_GBK" w:cs="Times New Roman"/>
          <w:sz w:val="32"/>
          <w:szCs w:val="32"/>
        </w:rPr>
        <w:t>6</w:t>
      </w:r>
      <w:r>
        <w:rPr>
          <w:rFonts w:hint="eastAsia" w:ascii="Times New Roman" w:hAnsi="Times New Roman" w:eastAsia="方正仿宋_GBK" w:cs="Times New Roman"/>
          <w:sz w:val="32"/>
          <w:szCs w:val="32"/>
          <w:lang w:val="zh-CN"/>
        </w:rPr>
        <w:t>、</w:t>
      </w:r>
      <w:r>
        <w:rPr>
          <w:rFonts w:hint="eastAsia" w:ascii="Times New Roman" w:hAnsi="Times New Roman" w:eastAsia="方正仿宋_GBK" w:cs="Times New Roman"/>
          <w:sz w:val="32"/>
          <w:szCs w:val="32"/>
        </w:rPr>
        <w:t>分项</w:t>
      </w:r>
      <w:r>
        <w:rPr>
          <w:rFonts w:hint="eastAsia" w:ascii="Times New Roman" w:hAnsi="Times New Roman" w:eastAsia="方正仿宋_GBK" w:cs="Times New Roman"/>
          <w:sz w:val="32"/>
          <w:szCs w:val="32"/>
          <w:lang w:val="zh-CN"/>
        </w:rPr>
        <w:t>明细报价</w:t>
      </w:r>
      <w:r>
        <w:rPr>
          <w:rFonts w:hint="eastAsia" w:ascii="Times New Roman" w:hAnsi="Times New Roman" w:eastAsia="方正仿宋_GBK" w:cs="Times New Roman"/>
          <w:sz w:val="32"/>
          <w:szCs w:val="32"/>
        </w:rPr>
        <w:t>表；</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hint="eastAsia" w:ascii="Times New Roman" w:hAnsi="Times New Roman" w:eastAsia="方正仿宋_GBK" w:cs="Times New Roman"/>
          <w:kern w:val="2"/>
          <w:sz w:val="32"/>
          <w:szCs w:val="32"/>
          <w:lang w:val="zh-CN" w:eastAsia="zh-CN" w:bidi="ar-SA"/>
        </w:rPr>
      </w:pPr>
      <w:r>
        <w:rPr>
          <w:rFonts w:hint="eastAsia" w:ascii="Times New Roman" w:hAnsi="Times New Roman" w:eastAsia="方正仿宋_GBK" w:cs="Times New Roman"/>
          <w:kern w:val="2"/>
          <w:sz w:val="32"/>
          <w:szCs w:val="32"/>
          <w:lang w:val="en-US" w:eastAsia="zh-CN" w:bidi="ar-SA"/>
        </w:rPr>
        <w:t>7</w:t>
      </w:r>
      <w:r>
        <w:rPr>
          <w:rFonts w:hint="eastAsia" w:ascii="Times New Roman" w:hAnsi="Times New Roman" w:eastAsia="方正仿宋_GBK" w:cs="Times New Roman"/>
          <w:kern w:val="2"/>
          <w:sz w:val="32"/>
          <w:szCs w:val="32"/>
          <w:lang w:val="zh-CN" w:eastAsia="zh-CN" w:bidi="ar-SA"/>
        </w:rPr>
        <w:t>、</w:t>
      </w:r>
      <w:r>
        <w:rPr>
          <w:rFonts w:hint="eastAsia" w:ascii="Times New Roman" w:hAnsi="Times New Roman" w:eastAsia="方正仿宋_GBK" w:cs="Times New Roman"/>
          <w:kern w:val="2"/>
          <w:sz w:val="32"/>
          <w:szCs w:val="32"/>
          <w:lang w:val="en-US" w:eastAsia="zh-CN" w:bidi="ar-SA"/>
        </w:rPr>
        <w:t>单一来源响应</w:t>
      </w:r>
      <w:bookmarkStart w:id="29" w:name="_GoBack"/>
      <w:bookmarkEnd w:id="29"/>
      <w:r>
        <w:rPr>
          <w:rFonts w:hint="eastAsia" w:ascii="Times New Roman" w:hAnsi="Times New Roman" w:eastAsia="方正仿宋_GBK" w:cs="Times New Roman"/>
          <w:kern w:val="2"/>
          <w:sz w:val="32"/>
          <w:szCs w:val="32"/>
          <w:lang w:val="zh-CN" w:eastAsia="zh-CN" w:bidi="ar-SA"/>
        </w:rPr>
        <w:t>报价表（见附件</w:t>
      </w:r>
      <w:r>
        <w:rPr>
          <w:rFonts w:hint="eastAsia" w:ascii="Times New Roman" w:hAnsi="Times New Roman" w:eastAsia="方正仿宋_GBK" w:cs="Times New Roman"/>
          <w:kern w:val="2"/>
          <w:sz w:val="32"/>
          <w:szCs w:val="32"/>
          <w:lang w:val="en-US" w:eastAsia="zh-CN" w:bidi="ar-SA"/>
        </w:rPr>
        <w:t>二</w:t>
      </w:r>
      <w:r>
        <w:rPr>
          <w:rFonts w:hint="eastAsia" w:ascii="Times New Roman" w:hAnsi="Times New Roman" w:eastAsia="方正仿宋_GBK" w:cs="Times New Roman"/>
          <w:kern w:val="2"/>
          <w:sz w:val="32"/>
          <w:szCs w:val="32"/>
          <w:lang w:val="zh-CN" w:eastAsia="zh-CN" w:bidi="ar-SA"/>
        </w:rPr>
        <w:t>）。</w:t>
      </w:r>
    </w:p>
    <w:p>
      <w:pPr>
        <w:keepNext w:val="0"/>
        <w:keepLines w:val="0"/>
        <w:pageBreakBefore w:val="0"/>
        <w:widowControl w:val="0"/>
        <w:kinsoku/>
        <w:wordWrap/>
        <w:overflowPunct/>
        <w:topLinePunct w:val="0"/>
        <w:bidi w:val="0"/>
        <w:snapToGrid w:val="0"/>
        <w:spacing w:line="560" w:lineRule="exact"/>
        <w:ind w:firstLine="640" w:firstLineChars="200"/>
        <w:textAlignment w:val="auto"/>
        <w:rPr>
          <w:rFonts w:ascii="方正仿宋_GBK" w:hAnsi="方正仿宋_GBK" w:eastAsia="方正仿宋_GBK" w:cs="方正仿宋_GBK"/>
          <w:color w:val="000000" w:themeColor="text1"/>
          <w14:textFill>
            <w14:solidFill>
              <w14:schemeClr w14:val="tx1"/>
            </w14:solidFill>
          </w14:textFill>
        </w:rPr>
      </w:pPr>
      <w:r>
        <w:rPr>
          <w:rFonts w:hint="eastAsia" w:ascii="Times New Roman" w:hAnsi="Times New Roman" w:eastAsia="方正仿宋_GBK" w:cs="Times New Roman"/>
          <w:kern w:val="2"/>
          <w:sz w:val="32"/>
          <w:szCs w:val="32"/>
          <w:lang w:val="zh-CN" w:eastAsia="zh-CN" w:bidi="ar-SA"/>
        </w:rPr>
        <w:t>请将上述材料按顺序自编目录牢固装订成册，一式三份，正本壹份，副本贰份，并密封在一个密封袋中。</w:t>
      </w:r>
    </w:p>
    <w:p>
      <w:pPr>
        <w:pStyle w:val="25"/>
        <w:spacing w:after="0" w:line="560" w:lineRule="exact"/>
        <w:ind w:left="0" w:leftChars="0" w:firstLine="0" w:firstLineChars="0"/>
        <w:sectPr>
          <w:footerReference r:id="rId4" w:type="default"/>
          <w:pgSz w:w="11906" w:h="16838"/>
          <w:pgMar w:top="1560" w:right="1800" w:bottom="1440" w:left="1800" w:header="851" w:footer="657" w:gutter="0"/>
          <w:pgNumType w:start="1"/>
          <w:cols w:space="425" w:num="1"/>
          <w:docGrid w:type="lines" w:linePitch="312" w:charSpace="0"/>
        </w:sectPr>
      </w:pPr>
    </w:p>
    <w:p>
      <w:pPr>
        <w:rPr>
          <w:rFonts w:ascii="宋体" w:hAnsi="Calibri" w:eastAsia="宋体" w:cs="Times New Roman"/>
          <w:b/>
          <w:bCs/>
          <w:sz w:val="24"/>
          <w:szCs w:val="24"/>
        </w:rPr>
      </w:pPr>
      <w:r>
        <w:rPr>
          <w:rFonts w:ascii="宋体"/>
          <w:b/>
          <w:bCs/>
          <w:sz w:val="24"/>
          <w:szCs w:val="24"/>
        </w:rPr>
        <w:t>附件</w:t>
      </w:r>
      <w:r>
        <w:rPr>
          <w:rFonts w:hint="eastAsia" w:ascii="宋体"/>
          <w:b/>
          <w:bCs/>
          <w:sz w:val="24"/>
          <w:szCs w:val="24"/>
        </w:rPr>
        <w:t>1：</w:t>
      </w:r>
    </w:p>
    <w:p>
      <w:pPr>
        <w:rPr>
          <w:rFonts w:ascii="宋体" w:hAnsi="Calibri" w:eastAsia="宋体" w:cs="Times New Roman"/>
          <w:sz w:val="24"/>
        </w:rPr>
      </w:pPr>
    </w:p>
    <w:p>
      <w:pPr>
        <w:jc w:val="center"/>
        <w:rPr>
          <w:rFonts w:ascii="宋体" w:hAnsi="宋体" w:eastAsia="宋体" w:cs="Times New Roman"/>
          <w:b/>
          <w:bCs/>
          <w:sz w:val="36"/>
          <w:szCs w:val="36"/>
        </w:rPr>
      </w:pPr>
      <w:r>
        <w:rPr>
          <w:rFonts w:hint="eastAsia" w:ascii="宋体" w:hAnsi="宋体" w:eastAsia="宋体" w:cs="Times New Roman"/>
          <w:b/>
          <w:bCs/>
          <w:sz w:val="44"/>
          <w:szCs w:val="44"/>
          <w:lang w:val="zh-CN"/>
        </w:rPr>
        <w:t>投标承诺函</w:t>
      </w:r>
    </w:p>
    <w:p>
      <w:pPr>
        <w:spacing w:line="52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南通市行政审批局：</w:t>
      </w:r>
    </w:p>
    <w:p>
      <w:pPr>
        <w:spacing w:line="52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（供应商名称）郑重承诺：</w:t>
      </w:r>
    </w:p>
    <w:p>
      <w:pPr>
        <w:snapToGrid w:val="0"/>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pPr>
        <w:spacing w:line="54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贵方组织的</w:t>
      </w:r>
      <w:r>
        <w:rPr>
          <w:rFonts w:hint="eastAsia" w:ascii="Times New Roman" w:hAnsi="Times New Roman" w:eastAsia="方正仿宋_GBK" w:cs="Times New Roman"/>
          <w:sz w:val="32"/>
          <w:szCs w:val="32"/>
        </w:rPr>
        <w:t>南通市行政审批局</w:t>
      </w:r>
      <w:r>
        <w:rPr>
          <w:rFonts w:hint="eastAsia" w:ascii="Times New Roman" w:hAnsi="Times New Roman" w:eastAsia="方正仿宋_GBK" w:cs="Times New Roman"/>
          <w:sz w:val="32"/>
          <w:szCs w:val="32"/>
        </w:rPr>
        <w:t>一体化平台网上中介超市涉税专区等功能完善项目</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我单位所提交的材料均为真实的，且能实现满足供应要求的功能建设。</w:t>
      </w:r>
    </w:p>
    <w:p>
      <w:pPr>
        <w:pStyle w:val="25"/>
        <w:spacing w:after="0"/>
        <w:ind w:firstLine="640"/>
        <w:rPr>
          <w:rFonts w:ascii="方正仿宋_GBK" w:hAnsi="方正仿宋_GBK" w:eastAsia="方正仿宋_GBK" w:cs="方正仿宋_GBK"/>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承诺人：（公章）</w:t>
      </w:r>
    </w:p>
    <w:p>
      <w:pPr>
        <w:ind w:firstLine="5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bookmarkEnd w:id="28"/>
    </w:p>
    <w:p>
      <w:pPr>
        <w:pStyle w:val="25"/>
        <w:ind w:firstLine="640"/>
        <w:rPr>
          <w:rFonts w:ascii="方正仿宋_GBK" w:hAnsi="方正仿宋_GBK" w:eastAsia="方正仿宋_GBK" w:cs="方正仿宋_GBK"/>
          <w:szCs w:val="32"/>
        </w:rPr>
      </w:pPr>
    </w:p>
    <w:p>
      <w:pPr>
        <w:pStyle w:val="25"/>
        <w:ind w:firstLine="640"/>
        <w:rPr>
          <w:rFonts w:ascii="方正仿宋_GBK" w:hAnsi="方正仿宋_GBK" w:eastAsia="方正仿宋_GBK" w:cs="方正仿宋_GBK"/>
          <w:szCs w:val="32"/>
        </w:rPr>
      </w:pPr>
    </w:p>
    <w:p>
      <w:pPr>
        <w:pStyle w:val="25"/>
        <w:ind w:firstLine="640"/>
        <w:rPr>
          <w:rFonts w:ascii="方正仿宋_GBK" w:hAnsi="方正仿宋_GBK" w:eastAsia="方正仿宋_GBK" w:cs="方正仿宋_GBK"/>
          <w:szCs w:val="32"/>
        </w:rPr>
      </w:pPr>
    </w:p>
    <w:p>
      <w:pPr>
        <w:pStyle w:val="25"/>
        <w:ind w:firstLine="640"/>
        <w:rPr>
          <w:rFonts w:ascii="方正仿宋_GBK" w:hAnsi="方正仿宋_GBK" w:eastAsia="方正仿宋_GBK" w:cs="方正仿宋_GBK"/>
          <w:szCs w:val="32"/>
        </w:rPr>
      </w:pPr>
    </w:p>
    <w:p>
      <w:pPr>
        <w:pStyle w:val="25"/>
        <w:ind w:firstLine="640"/>
        <w:rPr>
          <w:rFonts w:ascii="方正仿宋_GBK" w:hAnsi="方正仿宋_GBK" w:eastAsia="方正仿宋_GBK" w:cs="方正仿宋_GBK"/>
          <w:szCs w:val="32"/>
        </w:rPr>
      </w:pPr>
    </w:p>
    <w:p>
      <w:pPr>
        <w:rPr>
          <w:rFonts w:ascii="宋体"/>
          <w:b/>
          <w:bCs/>
          <w:sz w:val="24"/>
          <w:szCs w:val="24"/>
        </w:rPr>
        <w:sectPr>
          <w:pgSz w:w="11906" w:h="16838"/>
          <w:pgMar w:top="1560" w:right="1800" w:bottom="1440" w:left="1800" w:header="851" w:footer="657" w:gutter="0"/>
          <w:cols w:space="425" w:num="1"/>
          <w:docGrid w:type="lines" w:linePitch="312" w:charSpace="0"/>
        </w:sectPr>
      </w:pPr>
    </w:p>
    <w:p>
      <w:pPr>
        <w:rPr>
          <w:rFonts w:ascii="宋体"/>
          <w:b/>
          <w:bCs/>
          <w:sz w:val="24"/>
          <w:szCs w:val="24"/>
        </w:rPr>
      </w:pPr>
      <w:r>
        <w:rPr>
          <w:rFonts w:ascii="宋体"/>
          <w:b/>
          <w:bCs/>
          <w:sz w:val="24"/>
          <w:szCs w:val="24"/>
        </w:rPr>
        <w:t>附件</w:t>
      </w:r>
      <w:r>
        <w:rPr>
          <w:rFonts w:hint="eastAsia" w:ascii="宋体"/>
          <w:b/>
          <w:bCs/>
          <w:sz w:val="24"/>
          <w:szCs w:val="24"/>
        </w:rPr>
        <w:t>2：</w:t>
      </w:r>
    </w:p>
    <w:p>
      <w:pPr>
        <w:snapToGrid w:val="0"/>
        <w:jc w:val="center"/>
        <w:rPr>
          <w:rFonts w:ascii="方正小标宋_GBK" w:hAnsi="方正小标宋_GBK" w:eastAsia="方正小标宋_GBK" w:cs="方正小标宋_GBK"/>
          <w:sz w:val="44"/>
          <w:szCs w:val="44"/>
          <w:lang w:val="zh-CN"/>
        </w:rPr>
      </w:pPr>
      <w:r>
        <w:rPr>
          <w:rFonts w:hint="eastAsia" w:ascii="方正小标宋_GBK" w:hAnsi="方正小标宋_GBK" w:eastAsia="方正小标宋_GBK" w:cs="方正小标宋_GBK"/>
          <w:sz w:val="44"/>
          <w:szCs w:val="44"/>
          <w:lang w:val="en-US" w:eastAsia="zh-CN"/>
        </w:rPr>
        <w:t>单一来源</w:t>
      </w:r>
      <w:r>
        <w:rPr>
          <w:rFonts w:hint="eastAsia" w:ascii="方正小标宋_GBK" w:hAnsi="方正小标宋_GBK" w:eastAsia="方正小标宋_GBK" w:cs="方正小标宋_GBK"/>
          <w:sz w:val="44"/>
          <w:szCs w:val="44"/>
          <w:lang w:val="zh-CN"/>
        </w:rPr>
        <w:t>响应报价表</w:t>
      </w: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项目名称：</w:t>
      </w:r>
    </w:p>
    <w:tbl>
      <w:tblPr>
        <w:tblStyle w:val="26"/>
        <w:tblW w:w="8291" w:type="dxa"/>
        <w:tblCellSpacing w:w="0" w:type="dxa"/>
        <w:tblInd w:w="17" w:type="dxa"/>
        <w:shd w:val="clear" w:color="auto" w:fill="FFFFFF"/>
        <w:tblLayout w:type="autofit"/>
        <w:tblCellMar>
          <w:top w:w="0" w:type="dxa"/>
          <w:left w:w="0" w:type="dxa"/>
          <w:bottom w:w="0" w:type="dxa"/>
          <w:right w:w="0" w:type="dxa"/>
        </w:tblCellMar>
      </w:tblPr>
      <w:tblGrid>
        <w:gridCol w:w="716"/>
        <w:gridCol w:w="1290"/>
        <w:gridCol w:w="4815"/>
        <w:gridCol w:w="1470"/>
      </w:tblGrid>
      <w:tr>
        <w:tblPrEx>
          <w:shd w:val="clear" w:color="auto" w:fill="FFFFFF"/>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序号</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报价轮次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报价</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投标人签字</w:t>
            </w:r>
          </w:p>
        </w:tc>
      </w:tr>
      <w:tr>
        <w:tblPrEx>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1</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首次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23"/>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r>
        <w:tblPrEx>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hint="eastAsia" w:ascii="方正仿宋_GBK" w:hAnsi="方正仿宋_GBK" w:eastAsia="方正仿宋_GBK" w:cs="方正仿宋_GBK"/>
                <w:color w:val="333333"/>
                <w:sz w:val="28"/>
                <w:szCs w:val="28"/>
                <w:lang w:val="en-US" w:eastAsia="zh-CN"/>
              </w:rPr>
            </w:pPr>
            <w:r>
              <w:rPr>
                <w:rFonts w:hint="eastAsia" w:ascii="方正仿宋_GBK" w:hAnsi="方正仿宋_GBK" w:eastAsia="方正仿宋_GBK" w:cs="方正仿宋_GBK"/>
                <w:color w:val="333333"/>
                <w:sz w:val="28"/>
                <w:szCs w:val="28"/>
                <w:lang w:val="en-US" w:eastAsia="zh-CN"/>
              </w:rPr>
              <w:t>2</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hint="eastAsia" w:ascii="方正仿宋_GBK" w:hAnsi="方正仿宋_GBK" w:eastAsia="方正仿宋_GBK" w:cs="方正仿宋_GBK"/>
                <w:color w:val="333333"/>
                <w:sz w:val="28"/>
                <w:szCs w:val="28"/>
                <w:lang w:val="en-US" w:eastAsia="zh-CN"/>
              </w:rPr>
            </w:pPr>
            <w:r>
              <w:rPr>
                <w:rFonts w:hint="eastAsia" w:ascii="方正仿宋_GBK" w:hAnsi="方正仿宋_GBK" w:eastAsia="方正仿宋_GBK" w:cs="方正仿宋_GBK"/>
                <w:color w:val="333333"/>
                <w:sz w:val="28"/>
                <w:szCs w:val="28"/>
                <w:lang w:val="en-US" w:eastAsia="zh-CN"/>
              </w:rPr>
              <w:t>二次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23"/>
              <w:wordWrap w:val="0"/>
              <w:spacing w:before="0" w:beforeAutospacing="0" w:after="75" w:afterAutospacing="0" w:line="525" w:lineRule="atLeast"/>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r>
        <w:tblPrEx>
          <w:tblCellMar>
            <w:top w:w="0" w:type="dxa"/>
            <w:left w:w="0" w:type="dxa"/>
            <w:bottom w:w="0" w:type="dxa"/>
            <w:right w:w="0" w:type="dxa"/>
          </w:tblCellMar>
        </w:tblPrEx>
        <w:trPr>
          <w:tblCellSpacing w:w="0" w:type="dxa"/>
        </w:trPr>
        <w:tc>
          <w:tcPr>
            <w:tcW w:w="71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hint="eastAsia" w:ascii="方正仿宋_GBK" w:hAnsi="方正仿宋_GBK" w:eastAsia="方正仿宋_GBK" w:cs="方正仿宋_GBK"/>
                <w:color w:val="333333"/>
                <w:sz w:val="28"/>
                <w:szCs w:val="28"/>
                <w:lang w:val="en-US" w:eastAsia="zh-CN"/>
              </w:rPr>
            </w:pPr>
            <w:r>
              <w:rPr>
                <w:rFonts w:hint="eastAsia" w:ascii="方正仿宋_GBK" w:hAnsi="方正仿宋_GBK" w:eastAsia="方正仿宋_GBK" w:cs="方正仿宋_GBK"/>
                <w:color w:val="333333"/>
                <w:sz w:val="28"/>
                <w:szCs w:val="28"/>
                <w:lang w:val="en-US" w:eastAsia="zh-CN"/>
              </w:rPr>
              <w:t>3</w:t>
            </w:r>
          </w:p>
        </w:tc>
        <w:tc>
          <w:tcPr>
            <w:tcW w:w="12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jc w:val="center"/>
              <w:rPr>
                <w:rFonts w:hint="eastAsia" w:ascii="方正仿宋_GBK" w:hAnsi="方正仿宋_GBK" w:eastAsia="方正仿宋_GBK" w:cs="方正仿宋_GBK"/>
                <w:color w:val="333333"/>
                <w:sz w:val="28"/>
                <w:szCs w:val="28"/>
                <w:lang w:val="en-US" w:eastAsia="zh-CN"/>
              </w:rPr>
            </w:pPr>
            <w:r>
              <w:rPr>
                <w:rFonts w:hint="eastAsia" w:ascii="方正仿宋_GBK" w:hAnsi="方正仿宋_GBK" w:eastAsia="方正仿宋_GBK" w:cs="方正仿宋_GBK"/>
                <w:color w:val="333333"/>
                <w:sz w:val="28"/>
                <w:szCs w:val="28"/>
                <w:lang w:val="en-US" w:eastAsia="zh-CN"/>
              </w:rPr>
              <w:t>三次</w:t>
            </w:r>
          </w:p>
        </w:tc>
        <w:tc>
          <w:tcPr>
            <w:tcW w:w="481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3"/>
              <w:wordWrap w:val="0"/>
              <w:spacing w:before="0" w:beforeAutospacing="0" w:after="75" w:afterAutospacing="0" w:line="525" w:lineRule="atLeast"/>
              <w:rPr>
                <w:rFonts w:ascii="方正仿宋_GBK" w:hAnsi="方正仿宋_GBK" w:eastAsia="方正仿宋_GBK" w:cs="方正仿宋_GBK"/>
                <w:sz w:val="28"/>
                <w:szCs w:val="28"/>
              </w:rPr>
            </w:pPr>
            <w:r>
              <w:rPr>
                <w:rFonts w:hint="eastAsia" w:ascii="方正仿宋_GBK" w:hAnsi="方正仿宋_GBK" w:eastAsia="方正仿宋_GBK" w:cs="方正仿宋_GBK"/>
                <w:color w:val="333333"/>
                <w:sz w:val="28"/>
                <w:szCs w:val="28"/>
              </w:rPr>
              <w:t>大写（人民币）：</w:t>
            </w:r>
          </w:p>
          <w:p>
            <w:pPr>
              <w:pStyle w:val="23"/>
              <w:wordWrap w:val="0"/>
              <w:spacing w:before="0" w:beforeAutospacing="0" w:after="75" w:afterAutospacing="0" w:line="525" w:lineRule="atLeast"/>
              <w:rPr>
                <w:rFonts w:hint="eastAsia"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rPr>
              <w:t>小写（￥）：</w:t>
            </w:r>
          </w:p>
        </w:tc>
        <w:tc>
          <w:tcPr>
            <w:tcW w:w="1470" w:type="dxa"/>
            <w:tcBorders>
              <w:top w:val="single" w:color="auto" w:sz="6" w:space="0"/>
              <w:left w:val="single" w:color="auto" w:sz="6" w:space="0"/>
              <w:bottom w:val="single" w:color="auto" w:sz="6" w:space="0"/>
              <w:right w:val="single" w:color="auto" w:sz="6" w:space="0"/>
            </w:tcBorders>
            <w:shd w:val="clear" w:color="auto" w:fill="FFFFFF"/>
            <w:vAlign w:val="center"/>
          </w:tcPr>
          <w:p>
            <w:pPr>
              <w:widowControl/>
              <w:wordWrap w:val="0"/>
              <w:jc w:val="left"/>
              <w:rPr>
                <w:rFonts w:ascii="方正仿宋_GBK" w:hAnsi="方正仿宋_GBK" w:eastAsia="方正仿宋_GBK" w:cs="方正仿宋_GBK"/>
                <w:color w:val="333333"/>
                <w:sz w:val="28"/>
                <w:szCs w:val="28"/>
              </w:rPr>
            </w:pPr>
          </w:p>
        </w:tc>
      </w:tr>
    </w:tbl>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投标单位：（盖章）</w:t>
      </w: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rPr>
      </w:pPr>
      <w:r>
        <w:rPr>
          <w:rFonts w:hint="eastAsia" w:ascii="方正仿宋_GBK" w:hAnsi="方正仿宋_GBK" w:eastAsia="方正仿宋_GBK" w:cs="方正仿宋_GBK"/>
          <w:color w:val="333333"/>
          <w:sz w:val="28"/>
          <w:szCs w:val="28"/>
          <w:shd w:val="clear" w:color="auto" w:fill="FFFFFF"/>
        </w:rPr>
        <w:t>日    期：</w:t>
      </w:r>
    </w:p>
    <w:p>
      <w:pPr>
        <w:pStyle w:val="23"/>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23"/>
        <w:shd w:val="clear" w:color="auto" w:fill="FFFFFF"/>
        <w:spacing w:before="0" w:beforeAutospacing="0" w:after="75" w:afterAutospacing="0" w:line="525" w:lineRule="atLeast"/>
        <w:ind w:firstLine="420"/>
        <w:rPr>
          <w:rFonts w:ascii="微软雅黑" w:hAnsi="微软雅黑" w:eastAsia="微软雅黑" w:cs="微软雅黑"/>
          <w:color w:val="333333"/>
          <w:sz w:val="27"/>
          <w:szCs w:val="27"/>
          <w:shd w:val="clear" w:color="auto" w:fill="FFFFFF"/>
        </w:rPr>
      </w:pP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r>
        <w:rPr>
          <w:rFonts w:hint="eastAsia" w:ascii="方正仿宋_GBK" w:hAnsi="方正仿宋_GBK" w:eastAsia="方正仿宋_GBK" w:cs="方正仿宋_GBK"/>
          <w:color w:val="333333"/>
          <w:sz w:val="28"/>
          <w:szCs w:val="28"/>
          <w:shd w:val="clear" w:color="auto" w:fill="FFFFFF"/>
        </w:rPr>
        <w:t>注：第二次、第三次报价将在开标现场填写，且第二次、第三次报价，谈判响应报价明细表按同比例下浮。</w:t>
      </w: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p>
      <w:pPr>
        <w:pStyle w:val="23"/>
        <w:shd w:val="clear" w:color="auto" w:fill="FFFFFF"/>
        <w:spacing w:before="0" w:beforeAutospacing="0" w:after="75" w:afterAutospacing="0" w:line="525" w:lineRule="atLeast"/>
        <w:ind w:firstLine="420"/>
        <w:rPr>
          <w:rFonts w:ascii="方正仿宋_GBK" w:hAnsi="方正仿宋_GBK" w:eastAsia="方正仿宋_GBK" w:cs="方正仿宋_GBK"/>
          <w:color w:val="333333"/>
          <w:sz w:val="28"/>
          <w:szCs w:val="28"/>
          <w:shd w:val="clear" w:color="auto" w:fill="FFFFFF"/>
        </w:rPr>
      </w:pPr>
    </w:p>
    <w:sectPr>
      <w:pgSz w:w="11906" w:h="16838"/>
      <w:pgMar w:top="1560" w:right="1800" w:bottom="1440" w:left="1800" w:header="851" w:footer="65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949EE6"/>
    <w:multiLevelType w:val="multilevel"/>
    <w:tmpl w:val="AE949EE6"/>
    <w:lvl w:ilvl="0" w:tentative="0">
      <w:start w:val="2"/>
      <w:numFmt w:val="decimal"/>
      <w:suff w:val="nothing"/>
      <w:lvlText w:val="%1、"/>
      <w:lvlJc w:val="left"/>
      <w:pPr>
        <w:ind w:left="420" w:firstLine="0"/>
      </w:pPr>
      <w:rPr>
        <w:rFonts w:hint="default" w:ascii="Times New Roman" w:hAnsi="Times New Roman" w:eastAsia="宋体"/>
        <w:b/>
        <w:i w:val="0"/>
        <w:sz w:val="32"/>
      </w:rPr>
    </w:lvl>
    <w:lvl w:ilvl="1" w:tentative="0">
      <w:start w:val="1"/>
      <w:numFmt w:val="decimal"/>
      <w:pStyle w:val="6"/>
      <w:isLgl/>
      <w:suff w:val="nothing"/>
      <w:lvlText w:val="%1.%2、"/>
      <w:lvlJc w:val="left"/>
      <w:pPr>
        <w:tabs>
          <w:tab w:val="left" w:pos="0"/>
        </w:tabs>
        <w:ind w:left="210" w:firstLine="0"/>
      </w:pPr>
      <w:rPr>
        <w:rFonts w:hint="default" w:ascii="Times New Roman" w:hAnsi="Times New Roman" w:eastAsia="宋体"/>
        <w:b/>
        <w:i w:val="0"/>
        <w:sz w:val="30"/>
      </w:rPr>
    </w:lvl>
    <w:lvl w:ilvl="2" w:tentative="0">
      <w:start w:val="1"/>
      <w:numFmt w:val="decimal"/>
      <w:pStyle w:val="7"/>
      <w:isLgl/>
      <w:suff w:val="nothing"/>
      <w:lvlText w:val="%1.%2.%3、"/>
      <w:lvlJc w:val="left"/>
      <w:pPr>
        <w:ind w:left="1050" w:firstLine="0"/>
      </w:pPr>
      <w:rPr>
        <w:rFonts w:hint="default" w:ascii="Times New Roman" w:hAnsi="Times New Roman" w:eastAsia="宋体"/>
        <w:b/>
        <w:i w:val="0"/>
        <w:sz w:val="28"/>
      </w:rPr>
    </w:lvl>
    <w:lvl w:ilvl="3" w:tentative="0">
      <w:start w:val="1"/>
      <w:numFmt w:val="decimal"/>
      <w:pStyle w:val="8"/>
      <w:isLgl/>
      <w:suff w:val="nothing"/>
      <w:lvlText w:val="%1.%2.%3.%4、"/>
      <w:lvlJc w:val="left"/>
      <w:pPr>
        <w:ind w:left="630" w:firstLine="0"/>
      </w:pPr>
      <w:rPr>
        <w:rFonts w:hint="default" w:ascii="Times New Roman" w:hAnsi="Times New Roman" w:eastAsia="宋体"/>
        <w:b/>
        <w:i w:val="0"/>
        <w:sz w:val="24"/>
      </w:rPr>
    </w:lvl>
    <w:lvl w:ilvl="4" w:tentative="0">
      <w:start w:val="1"/>
      <w:numFmt w:val="decimal"/>
      <w:pStyle w:val="9"/>
      <w:isLgl/>
      <w:suff w:val="nothing"/>
      <w:lvlText w:val="%1.%2.%3.%4.%5、"/>
      <w:lvlJc w:val="left"/>
      <w:pPr>
        <w:ind w:left="210" w:firstLine="0"/>
      </w:pPr>
      <w:rPr>
        <w:rFonts w:hint="default" w:ascii="Times New Roman" w:hAnsi="Times New Roman" w:eastAsia="宋体"/>
        <w:b/>
        <w:i w:val="0"/>
        <w:sz w:val="21"/>
      </w:rPr>
    </w:lvl>
    <w:lvl w:ilvl="5" w:tentative="0">
      <w:start w:val="1"/>
      <w:numFmt w:val="decimal"/>
      <w:isLgl/>
      <w:suff w:val="nothing"/>
      <w:lvlText w:val="%1.%2.%3.%4.%5.%6、"/>
      <w:lvlJc w:val="left"/>
      <w:pPr>
        <w:ind w:left="210" w:firstLine="0"/>
      </w:pPr>
      <w:rPr>
        <w:rFonts w:hint="default" w:ascii="Times New Roman" w:hAnsi="Times New Roman" w:eastAsia="宋体"/>
        <w:b/>
        <w:i w:val="0"/>
        <w:sz w:val="21"/>
      </w:rPr>
    </w:lvl>
    <w:lvl w:ilvl="6" w:tentative="0">
      <w:start w:val="1"/>
      <w:numFmt w:val="decimal"/>
      <w:isLgl/>
      <w:suff w:val="nothing"/>
      <w:lvlText w:val="%1.%2.%3.%4.%5.%6.%7、"/>
      <w:lvlJc w:val="left"/>
      <w:pPr>
        <w:ind w:left="210" w:firstLine="0"/>
      </w:pPr>
      <w:rPr>
        <w:rFonts w:hint="default" w:ascii="Times New Roman" w:hAnsi="Times New Roman" w:eastAsia="宋体"/>
        <w:b/>
        <w:i w:val="0"/>
        <w:sz w:val="21"/>
      </w:rPr>
    </w:lvl>
    <w:lvl w:ilvl="7" w:tentative="0">
      <w:start w:val="1"/>
      <w:numFmt w:val="decimal"/>
      <w:isLgl/>
      <w:suff w:val="nothing"/>
      <w:lvlText w:val="%1.%2.%3.%4.%5.%6.%7.%8、"/>
      <w:lvlJc w:val="left"/>
      <w:pPr>
        <w:ind w:left="210" w:firstLine="0"/>
      </w:pPr>
      <w:rPr>
        <w:rFonts w:hint="default" w:ascii="Times New Roman" w:hAnsi="Times New Roman" w:eastAsia="宋体"/>
        <w:b/>
        <w:i w:val="0"/>
        <w:sz w:val="21"/>
      </w:rPr>
    </w:lvl>
    <w:lvl w:ilvl="8" w:tentative="0">
      <w:start w:val="1"/>
      <w:numFmt w:val="decimal"/>
      <w:isLgl/>
      <w:suff w:val="nothing"/>
      <w:lvlText w:val="%1.%2.%3.%4.%5.%6.%7.%8.%9、"/>
      <w:lvlJc w:val="left"/>
      <w:pPr>
        <w:ind w:left="210" w:firstLine="0"/>
      </w:pPr>
      <w:rPr>
        <w:rFonts w:hint="default" w:ascii="Times New Roman" w:hAnsi="Times New Roman" w:eastAsia="宋体"/>
        <w:b/>
        <w:i w:val="0"/>
        <w:sz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yZjhlZGRkZDZmY2ViMzQ2MWU3ZTUwYTEzMTQ2MTkifQ=="/>
  </w:docVars>
  <w:rsids>
    <w:rsidRoot w:val="007661A4"/>
    <w:rsid w:val="00010F8F"/>
    <w:rsid w:val="0003088A"/>
    <w:rsid w:val="00063538"/>
    <w:rsid w:val="00076635"/>
    <w:rsid w:val="000975A2"/>
    <w:rsid w:val="000A44B1"/>
    <w:rsid w:val="000D2C4A"/>
    <w:rsid w:val="000E1297"/>
    <w:rsid w:val="000F5FD0"/>
    <w:rsid w:val="00142AD5"/>
    <w:rsid w:val="00151E3F"/>
    <w:rsid w:val="00155B7B"/>
    <w:rsid w:val="001561C7"/>
    <w:rsid w:val="00157275"/>
    <w:rsid w:val="0016302E"/>
    <w:rsid w:val="001704CA"/>
    <w:rsid w:val="00173104"/>
    <w:rsid w:val="00173619"/>
    <w:rsid w:val="00174E19"/>
    <w:rsid w:val="001A2970"/>
    <w:rsid w:val="001A2B8F"/>
    <w:rsid w:val="001A6E57"/>
    <w:rsid w:val="002108F4"/>
    <w:rsid w:val="00251CA5"/>
    <w:rsid w:val="002577D8"/>
    <w:rsid w:val="002613C4"/>
    <w:rsid w:val="002843F3"/>
    <w:rsid w:val="002A2B26"/>
    <w:rsid w:val="002A3026"/>
    <w:rsid w:val="002B24A1"/>
    <w:rsid w:val="002B3B40"/>
    <w:rsid w:val="002B47CE"/>
    <w:rsid w:val="002F2018"/>
    <w:rsid w:val="002F2104"/>
    <w:rsid w:val="002F620E"/>
    <w:rsid w:val="00311F3E"/>
    <w:rsid w:val="00335B64"/>
    <w:rsid w:val="00366189"/>
    <w:rsid w:val="00381DBA"/>
    <w:rsid w:val="00393CD5"/>
    <w:rsid w:val="003B127A"/>
    <w:rsid w:val="003B50DE"/>
    <w:rsid w:val="003D43B9"/>
    <w:rsid w:val="003D6783"/>
    <w:rsid w:val="003F37DE"/>
    <w:rsid w:val="004033B7"/>
    <w:rsid w:val="00425D03"/>
    <w:rsid w:val="00427288"/>
    <w:rsid w:val="004474F9"/>
    <w:rsid w:val="004565E0"/>
    <w:rsid w:val="00480B71"/>
    <w:rsid w:val="004822D1"/>
    <w:rsid w:val="00482C79"/>
    <w:rsid w:val="004F6889"/>
    <w:rsid w:val="00507074"/>
    <w:rsid w:val="00515913"/>
    <w:rsid w:val="00537CB4"/>
    <w:rsid w:val="005431FF"/>
    <w:rsid w:val="00565C8F"/>
    <w:rsid w:val="005B0960"/>
    <w:rsid w:val="005D40FE"/>
    <w:rsid w:val="005D5289"/>
    <w:rsid w:val="005E3342"/>
    <w:rsid w:val="006135A4"/>
    <w:rsid w:val="00643047"/>
    <w:rsid w:val="00652BF8"/>
    <w:rsid w:val="006A381D"/>
    <w:rsid w:val="006C071D"/>
    <w:rsid w:val="006C7F22"/>
    <w:rsid w:val="006D32E9"/>
    <w:rsid w:val="00701AC2"/>
    <w:rsid w:val="00716FC6"/>
    <w:rsid w:val="00720CCB"/>
    <w:rsid w:val="00736852"/>
    <w:rsid w:val="007377E5"/>
    <w:rsid w:val="007463DF"/>
    <w:rsid w:val="007661A4"/>
    <w:rsid w:val="007666CE"/>
    <w:rsid w:val="0076673B"/>
    <w:rsid w:val="007759E6"/>
    <w:rsid w:val="00784AB2"/>
    <w:rsid w:val="007C5A5D"/>
    <w:rsid w:val="007C6A1D"/>
    <w:rsid w:val="008005E6"/>
    <w:rsid w:val="00822A80"/>
    <w:rsid w:val="00870F88"/>
    <w:rsid w:val="008A3513"/>
    <w:rsid w:val="008A651A"/>
    <w:rsid w:val="008C24E4"/>
    <w:rsid w:val="008D1B33"/>
    <w:rsid w:val="008D5553"/>
    <w:rsid w:val="00900BB9"/>
    <w:rsid w:val="00901E27"/>
    <w:rsid w:val="009178CB"/>
    <w:rsid w:val="00933662"/>
    <w:rsid w:val="0093770D"/>
    <w:rsid w:val="00951867"/>
    <w:rsid w:val="00955618"/>
    <w:rsid w:val="009C2248"/>
    <w:rsid w:val="009E10D1"/>
    <w:rsid w:val="00A109D3"/>
    <w:rsid w:val="00A13AD3"/>
    <w:rsid w:val="00A34BAA"/>
    <w:rsid w:val="00A35B06"/>
    <w:rsid w:val="00A72772"/>
    <w:rsid w:val="00A85B96"/>
    <w:rsid w:val="00A93B25"/>
    <w:rsid w:val="00AC2A7D"/>
    <w:rsid w:val="00AE1C1A"/>
    <w:rsid w:val="00B01487"/>
    <w:rsid w:val="00B024BA"/>
    <w:rsid w:val="00B03DA0"/>
    <w:rsid w:val="00B4299E"/>
    <w:rsid w:val="00B62395"/>
    <w:rsid w:val="00B7001F"/>
    <w:rsid w:val="00B76C3D"/>
    <w:rsid w:val="00B92DB9"/>
    <w:rsid w:val="00B94ECF"/>
    <w:rsid w:val="00BA4AA7"/>
    <w:rsid w:val="00BC571A"/>
    <w:rsid w:val="00BE3885"/>
    <w:rsid w:val="00C131BF"/>
    <w:rsid w:val="00C33214"/>
    <w:rsid w:val="00C42D66"/>
    <w:rsid w:val="00C63127"/>
    <w:rsid w:val="00C97DA6"/>
    <w:rsid w:val="00CA3887"/>
    <w:rsid w:val="00CC2FD4"/>
    <w:rsid w:val="00CF3824"/>
    <w:rsid w:val="00D14A58"/>
    <w:rsid w:val="00D17BEF"/>
    <w:rsid w:val="00D20E99"/>
    <w:rsid w:val="00D6240D"/>
    <w:rsid w:val="00D7523F"/>
    <w:rsid w:val="00DC249C"/>
    <w:rsid w:val="00DF5845"/>
    <w:rsid w:val="00E30E35"/>
    <w:rsid w:val="00E4379C"/>
    <w:rsid w:val="00E469A8"/>
    <w:rsid w:val="00E5655E"/>
    <w:rsid w:val="00E66C1D"/>
    <w:rsid w:val="00E86183"/>
    <w:rsid w:val="00EA2FC9"/>
    <w:rsid w:val="00EC71C3"/>
    <w:rsid w:val="00ED5B24"/>
    <w:rsid w:val="00EF3862"/>
    <w:rsid w:val="00F0538E"/>
    <w:rsid w:val="00F12234"/>
    <w:rsid w:val="00F30DEC"/>
    <w:rsid w:val="00FA329E"/>
    <w:rsid w:val="00FA4C70"/>
    <w:rsid w:val="00FD1999"/>
    <w:rsid w:val="00FF75EC"/>
    <w:rsid w:val="016C0094"/>
    <w:rsid w:val="030D0562"/>
    <w:rsid w:val="055C42DD"/>
    <w:rsid w:val="071C4121"/>
    <w:rsid w:val="08DD1D45"/>
    <w:rsid w:val="09F4422A"/>
    <w:rsid w:val="0A25275B"/>
    <w:rsid w:val="0E61035D"/>
    <w:rsid w:val="102B3E33"/>
    <w:rsid w:val="10910273"/>
    <w:rsid w:val="10C747CA"/>
    <w:rsid w:val="12B97AC7"/>
    <w:rsid w:val="13834CE3"/>
    <w:rsid w:val="13AA51CB"/>
    <w:rsid w:val="165C73DE"/>
    <w:rsid w:val="16DD7A28"/>
    <w:rsid w:val="16FA3937"/>
    <w:rsid w:val="17EA0D40"/>
    <w:rsid w:val="18BD142C"/>
    <w:rsid w:val="1AC10063"/>
    <w:rsid w:val="25D845A8"/>
    <w:rsid w:val="26075D3E"/>
    <w:rsid w:val="26EB53DA"/>
    <w:rsid w:val="27736699"/>
    <w:rsid w:val="29C7459F"/>
    <w:rsid w:val="29CF713B"/>
    <w:rsid w:val="2CC338BC"/>
    <w:rsid w:val="2D504A66"/>
    <w:rsid w:val="2E803B35"/>
    <w:rsid w:val="2E9D5158"/>
    <w:rsid w:val="313F2370"/>
    <w:rsid w:val="31BC0BA2"/>
    <w:rsid w:val="33952DD9"/>
    <w:rsid w:val="35A75FA3"/>
    <w:rsid w:val="362575FC"/>
    <w:rsid w:val="36AC48C6"/>
    <w:rsid w:val="371407B6"/>
    <w:rsid w:val="37283891"/>
    <w:rsid w:val="3E466D74"/>
    <w:rsid w:val="41F06AA9"/>
    <w:rsid w:val="43C618DC"/>
    <w:rsid w:val="440F45B0"/>
    <w:rsid w:val="45EA7CB3"/>
    <w:rsid w:val="47090492"/>
    <w:rsid w:val="4D86770C"/>
    <w:rsid w:val="50906BB8"/>
    <w:rsid w:val="552159DD"/>
    <w:rsid w:val="55C850F9"/>
    <w:rsid w:val="56686E91"/>
    <w:rsid w:val="57C4203E"/>
    <w:rsid w:val="5A755946"/>
    <w:rsid w:val="5B4A37F6"/>
    <w:rsid w:val="5C734E49"/>
    <w:rsid w:val="5C964D4C"/>
    <w:rsid w:val="5FB609CD"/>
    <w:rsid w:val="608F0419"/>
    <w:rsid w:val="61081953"/>
    <w:rsid w:val="61756C12"/>
    <w:rsid w:val="63194047"/>
    <w:rsid w:val="63377C50"/>
    <w:rsid w:val="66770C98"/>
    <w:rsid w:val="679333DD"/>
    <w:rsid w:val="68A83397"/>
    <w:rsid w:val="69167CCA"/>
    <w:rsid w:val="6BB814D3"/>
    <w:rsid w:val="6C5166A9"/>
    <w:rsid w:val="7068465E"/>
    <w:rsid w:val="744460E9"/>
    <w:rsid w:val="749113CE"/>
    <w:rsid w:val="757614C7"/>
    <w:rsid w:val="7B5A1010"/>
    <w:rsid w:val="7C063553"/>
    <w:rsid w:val="7F73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link w:val="42"/>
    <w:qFormat/>
    <w:uiPriority w:val="0"/>
    <w:pPr>
      <w:keepNext/>
      <w:keepLines/>
      <w:spacing w:before="120" w:after="120" w:line="360" w:lineRule="auto"/>
      <w:outlineLvl w:val="0"/>
    </w:pPr>
    <w:rPr>
      <w:rFonts w:ascii="Times New Roman" w:hAnsi="Times New Roman" w:eastAsia="微软雅黑" w:cs="Times New Roman"/>
      <w:b/>
      <w:bCs/>
      <w:kern w:val="44"/>
      <w:sz w:val="32"/>
      <w:szCs w:val="28"/>
    </w:rPr>
  </w:style>
  <w:style w:type="paragraph" w:styleId="6">
    <w:name w:val="heading 2"/>
    <w:basedOn w:val="1"/>
    <w:next w:val="5"/>
    <w:qFormat/>
    <w:uiPriority w:val="0"/>
    <w:pPr>
      <w:keepNext/>
      <w:keepLines/>
      <w:numPr>
        <w:ilvl w:val="1"/>
        <w:numId w:val="1"/>
      </w:numPr>
      <w:spacing w:before="120" w:after="120" w:line="360" w:lineRule="auto"/>
      <w:outlineLvl w:val="1"/>
    </w:pPr>
    <w:rPr>
      <w:b/>
      <w:bCs/>
      <w:sz w:val="30"/>
      <w:szCs w:val="32"/>
    </w:rPr>
  </w:style>
  <w:style w:type="paragraph" w:styleId="7">
    <w:name w:val="heading 3"/>
    <w:basedOn w:val="1"/>
    <w:next w:val="5"/>
    <w:qFormat/>
    <w:uiPriority w:val="0"/>
    <w:pPr>
      <w:keepNext/>
      <w:keepLines/>
      <w:numPr>
        <w:ilvl w:val="2"/>
        <w:numId w:val="1"/>
      </w:numPr>
      <w:spacing w:before="120" w:after="120" w:line="360" w:lineRule="auto"/>
      <w:outlineLvl w:val="2"/>
    </w:pPr>
    <w:rPr>
      <w:b/>
      <w:bCs/>
      <w:sz w:val="28"/>
      <w:szCs w:val="18"/>
    </w:rPr>
  </w:style>
  <w:style w:type="paragraph" w:styleId="8">
    <w:name w:val="heading 4"/>
    <w:basedOn w:val="1"/>
    <w:next w:val="5"/>
    <w:qFormat/>
    <w:uiPriority w:val="0"/>
    <w:pPr>
      <w:keepNext/>
      <w:keepLines/>
      <w:numPr>
        <w:ilvl w:val="3"/>
        <w:numId w:val="1"/>
      </w:numPr>
      <w:spacing w:before="120" w:after="120" w:line="360" w:lineRule="auto"/>
      <w:outlineLvl w:val="3"/>
    </w:pPr>
    <w:rPr>
      <w:b/>
      <w:bCs/>
      <w:sz w:val="24"/>
      <w:szCs w:val="28"/>
    </w:rPr>
  </w:style>
  <w:style w:type="paragraph" w:styleId="9">
    <w:name w:val="heading 5"/>
    <w:basedOn w:val="1"/>
    <w:next w:val="5"/>
    <w:unhideWhenUsed/>
    <w:qFormat/>
    <w:uiPriority w:val="0"/>
    <w:pPr>
      <w:keepNext/>
      <w:keepLines/>
      <w:numPr>
        <w:ilvl w:val="4"/>
        <w:numId w:val="1"/>
      </w:numPr>
      <w:spacing w:before="120" w:after="120" w:line="360" w:lineRule="auto"/>
      <w:outlineLvl w:val="4"/>
    </w:pPr>
    <w:rPr>
      <w:b/>
      <w:bCs/>
      <w:szCs w:val="28"/>
      <w:lang w:val="zh-CN"/>
    </w:rPr>
  </w:style>
  <w:style w:type="paragraph" w:styleId="10">
    <w:name w:val="heading 6"/>
    <w:basedOn w:val="1"/>
    <w:next w:val="5"/>
    <w:link w:val="43"/>
    <w:unhideWhenUsed/>
    <w:qFormat/>
    <w:uiPriority w:val="0"/>
    <w:pPr>
      <w:keepNext/>
      <w:keepLines/>
      <w:spacing w:before="120" w:after="120" w:line="360" w:lineRule="auto"/>
      <w:outlineLvl w:val="5"/>
    </w:pPr>
    <w:rPr>
      <w:rFonts w:ascii="Cambria" w:hAnsi="Cambria" w:eastAsia="宋体" w:cs="Times New Roman"/>
      <w:b/>
      <w:bCs/>
      <w:sz w:val="24"/>
      <w:szCs w:val="24"/>
      <w:lang w:val="zh-CN"/>
    </w:rPr>
  </w:style>
  <w:style w:type="paragraph" w:styleId="11">
    <w:name w:val="heading 7"/>
    <w:basedOn w:val="1"/>
    <w:next w:val="1"/>
    <w:link w:val="44"/>
    <w:unhideWhenUsed/>
    <w:qFormat/>
    <w:uiPriority w:val="0"/>
    <w:pPr>
      <w:keepNext/>
      <w:keepLines/>
      <w:spacing w:before="240" w:after="64" w:line="319" w:lineRule="auto"/>
      <w:outlineLvl w:val="6"/>
    </w:pPr>
    <w:rPr>
      <w:rFonts w:ascii="Times New Roman" w:hAnsi="Times New Roman" w:eastAsia="宋体" w:cs="Times New Roman"/>
      <w:b/>
      <w:bCs/>
      <w:szCs w:val="24"/>
    </w:rPr>
  </w:style>
  <w:style w:type="paragraph" w:styleId="12">
    <w:name w:val="heading 8"/>
    <w:basedOn w:val="1"/>
    <w:next w:val="1"/>
    <w:link w:val="45"/>
    <w:unhideWhenUsed/>
    <w:qFormat/>
    <w:uiPriority w:val="0"/>
    <w:pPr>
      <w:keepNext/>
      <w:keepLines/>
      <w:spacing w:before="240" w:after="64" w:line="319" w:lineRule="auto"/>
      <w:outlineLvl w:val="7"/>
    </w:pPr>
    <w:rPr>
      <w:rFonts w:asciiTheme="majorHAnsi" w:hAnsiTheme="majorHAnsi" w:eastAsiaTheme="majorEastAsia" w:cstheme="majorBidi"/>
      <w:szCs w:val="24"/>
    </w:rPr>
  </w:style>
  <w:style w:type="paragraph" w:styleId="13">
    <w:name w:val="heading 9"/>
    <w:basedOn w:val="1"/>
    <w:next w:val="1"/>
    <w:link w:val="46"/>
    <w:unhideWhenUsed/>
    <w:qFormat/>
    <w:uiPriority w:val="0"/>
    <w:pPr>
      <w:keepNext/>
      <w:keepLines/>
      <w:spacing w:before="240" w:after="64" w:line="319" w:lineRule="auto"/>
      <w:outlineLvl w:val="8"/>
    </w:pPr>
    <w:rPr>
      <w:rFonts w:asciiTheme="majorHAnsi" w:hAnsiTheme="majorHAnsi" w:eastAsiaTheme="majorEastAsia" w:cstheme="majorBidi"/>
      <w:szCs w:val="21"/>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semiHidden/>
    <w:unhideWhenUsed/>
    <w:qFormat/>
    <w:uiPriority w:val="99"/>
    <w:pPr>
      <w:spacing w:after="120"/>
    </w:pPr>
  </w:style>
  <w:style w:type="paragraph" w:styleId="3">
    <w:name w:val="Plain Text"/>
    <w:basedOn w:val="1"/>
    <w:qFormat/>
    <w:uiPriority w:val="0"/>
    <w:rPr>
      <w:rFonts w:ascii="宋体" w:hAnsi="Courier New"/>
      <w:szCs w:val="20"/>
    </w:rPr>
  </w:style>
  <w:style w:type="paragraph" w:customStyle="1" w:styleId="5">
    <w:name w:val="正文2"/>
    <w:basedOn w:val="1"/>
    <w:next w:val="1"/>
    <w:link w:val="47"/>
    <w:qFormat/>
    <w:uiPriority w:val="0"/>
    <w:pPr>
      <w:spacing w:line="360" w:lineRule="auto"/>
      <w:ind w:firstLine="420" w:firstLineChars="200"/>
    </w:pPr>
  </w:style>
  <w:style w:type="paragraph" w:styleId="14">
    <w:name w:val="annotation text"/>
    <w:basedOn w:val="1"/>
    <w:link w:val="40"/>
    <w:unhideWhenUsed/>
    <w:qFormat/>
    <w:uiPriority w:val="99"/>
    <w:pPr>
      <w:jc w:val="left"/>
    </w:pPr>
  </w:style>
  <w:style w:type="paragraph" w:styleId="15">
    <w:name w:val="Body Text Indent"/>
    <w:basedOn w:val="1"/>
    <w:next w:val="16"/>
    <w:semiHidden/>
    <w:unhideWhenUsed/>
    <w:qFormat/>
    <w:uiPriority w:val="99"/>
    <w:pPr>
      <w:spacing w:after="120"/>
      <w:ind w:left="420" w:leftChars="200"/>
    </w:pPr>
  </w:style>
  <w:style w:type="paragraph" w:styleId="16">
    <w:name w:val="envelope return"/>
    <w:basedOn w:val="1"/>
    <w:unhideWhenUsed/>
    <w:qFormat/>
    <w:uiPriority w:val="99"/>
    <w:pPr>
      <w:snapToGrid w:val="0"/>
    </w:pPr>
    <w:rPr>
      <w:rFonts w:ascii="Arial" w:hAnsi="Arial"/>
    </w:rPr>
  </w:style>
  <w:style w:type="paragraph" w:styleId="17">
    <w:name w:val="Block Text"/>
    <w:basedOn w:val="1"/>
    <w:qFormat/>
    <w:uiPriority w:val="99"/>
    <w:pPr>
      <w:spacing w:after="120"/>
      <w:ind w:left="1440" w:leftChars="700" w:right="700" w:rightChars="700"/>
    </w:pPr>
  </w:style>
  <w:style w:type="paragraph" w:styleId="18">
    <w:name w:val="index 4"/>
    <w:basedOn w:val="1"/>
    <w:next w:val="1"/>
    <w:unhideWhenUsed/>
    <w:qFormat/>
    <w:uiPriority w:val="99"/>
    <w:pPr>
      <w:ind w:left="600" w:leftChars="600"/>
    </w:pPr>
  </w:style>
  <w:style w:type="paragraph" w:styleId="19">
    <w:name w:val="Balloon Text"/>
    <w:basedOn w:val="1"/>
    <w:link w:val="35"/>
    <w:semiHidden/>
    <w:unhideWhenUsed/>
    <w:qFormat/>
    <w:uiPriority w:val="99"/>
    <w:rPr>
      <w:sz w:val="18"/>
      <w:szCs w:val="18"/>
    </w:rPr>
  </w:style>
  <w:style w:type="paragraph" w:styleId="20">
    <w:name w:val="footer"/>
    <w:basedOn w:val="1"/>
    <w:link w:val="33"/>
    <w:unhideWhenUsed/>
    <w:qFormat/>
    <w:uiPriority w:val="99"/>
    <w:pPr>
      <w:tabs>
        <w:tab w:val="center" w:pos="4153"/>
        <w:tab w:val="right" w:pos="8306"/>
      </w:tabs>
      <w:snapToGrid w:val="0"/>
      <w:jc w:val="left"/>
    </w:pPr>
    <w:rPr>
      <w:sz w:val="18"/>
      <w:szCs w:val="18"/>
    </w:rPr>
  </w:style>
  <w:style w:type="paragraph" w:styleId="21">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List"/>
    <w:basedOn w:val="1"/>
    <w:semiHidden/>
    <w:qFormat/>
    <w:uiPriority w:val="0"/>
    <w:pPr>
      <w:ind w:left="200" w:hanging="200" w:hangingChars="200"/>
    </w:pPr>
  </w:style>
  <w:style w:type="paragraph" w:styleId="2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14"/>
    <w:next w:val="14"/>
    <w:link w:val="41"/>
    <w:semiHidden/>
    <w:unhideWhenUsed/>
    <w:qFormat/>
    <w:uiPriority w:val="99"/>
    <w:rPr>
      <w:b/>
      <w:bCs/>
    </w:rPr>
  </w:style>
  <w:style w:type="paragraph" w:styleId="25">
    <w:name w:val="Body Text First Indent 2"/>
    <w:basedOn w:val="15"/>
    <w:next w:val="17"/>
    <w:qFormat/>
    <w:uiPriority w:val="99"/>
    <w:pPr>
      <w:ind w:firstLine="420" w:firstLineChars="200"/>
    </w:pPr>
    <w:rPr>
      <w:sz w:val="32"/>
      <w:szCs w:val="24"/>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rPr>
  </w:style>
  <w:style w:type="character" w:styleId="30">
    <w:name w:val="Hyperlink"/>
    <w:qFormat/>
    <w:uiPriority w:val="99"/>
    <w:rPr>
      <w:color w:val="0000FF"/>
      <w:u w:val="single"/>
    </w:rPr>
  </w:style>
  <w:style w:type="character" w:styleId="31">
    <w:name w:val="annotation reference"/>
    <w:basedOn w:val="28"/>
    <w:semiHidden/>
    <w:unhideWhenUsed/>
    <w:qFormat/>
    <w:uiPriority w:val="99"/>
    <w:rPr>
      <w:sz w:val="21"/>
      <w:szCs w:val="21"/>
    </w:rPr>
  </w:style>
  <w:style w:type="character" w:customStyle="1" w:styleId="32">
    <w:name w:val="页眉 字符"/>
    <w:basedOn w:val="28"/>
    <w:link w:val="21"/>
    <w:semiHidden/>
    <w:qFormat/>
    <w:uiPriority w:val="99"/>
    <w:rPr>
      <w:sz w:val="18"/>
      <w:szCs w:val="18"/>
    </w:rPr>
  </w:style>
  <w:style w:type="character" w:customStyle="1" w:styleId="33">
    <w:name w:val="页脚 字符"/>
    <w:basedOn w:val="28"/>
    <w:link w:val="20"/>
    <w:qFormat/>
    <w:uiPriority w:val="99"/>
    <w:rPr>
      <w:sz w:val="18"/>
      <w:szCs w:val="18"/>
    </w:rPr>
  </w:style>
  <w:style w:type="paragraph" w:customStyle="1" w:styleId="34">
    <w:name w:val="p0"/>
    <w:basedOn w:val="1"/>
    <w:qFormat/>
    <w:uiPriority w:val="0"/>
    <w:pPr>
      <w:widowControl/>
    </w:pPr>
    <w:rPr>
      <w:rFonts w:ascii="Calibri" w:hAnsi="Calibri" w:eastAsia="宋体" w:cs="Calibri"/>
      <w:kern w:val="0"/>
      <w:szCs w:val="21"/>
    </w:rPr>
  </w:style>
  <w:style w:type="character" w:customStyle="1" w:styleId="35">
    <w:name w:val="批注框文本 字符"/>
    <w:basedOn w:val="28"/>
    <w:link w:val="19"/>
    <w:semiHidden/>
    <w:qFormat/>
    <w:uiPriority w:val="99"/>
    <w:rPr>
      <w:sz w:val="18"/>
      <w:szCs w:val="18"/>
    </w:rPr>
  </w:style>
  <w:style w:type="paragraph" w:customStyle="1" w:styleId="36">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styleId="37">
    <w:name w:val="List Paragraph"/>
    <w:basedOn w:val="1"/>
    <w:qFormat/>
    <w:uiPriority w:val="34"/>
    <w:pPr>
      <w:ind w:firstLine="420" w:firstLineChars="200"/>
    </w:pPr>
  </w:style>
  <w:style w:type="table" w:customStyle="1" w:styleId="38">
    <w:name w:val="网格型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内容正文"/>
    <w:basedOn w:val="1"/>
    <w:qFormat/>
    <w:uiPriority w:val="0"/>
    <w:pPr>
      <w:snapToGrid w:val="0"/>
      <w:ind w:firstLine="200" w:firstLineChars="200"/>
      <w:contextualSpacing/>
      <w:jc w:val="left"/>
    </w:pPr>
    <w:rPr>
      <w:rFonts w:ascii="仿宋" w:hAnsi="仿宋" w:eastAsia="仿宋"/>
      <w:sz w:val="28"/>
      <w:szCs w:val="28"/>
    </w:rPr>
  </w:style>
  <w:style w:type="character" w:customStyle="1" w:styleId="40">
    <w:name w:val="批注文字 字符"/>
    <w:basedOn w:val="28"/>
    <w:link w:val="14"/>
    <w:qFormat/>
    <w:uiPriority w:val="99"/>
    <w:rPr>
      <w:rFonts w:asciiTheme="minorHAnsi" w:hAnsiTheme="minorHAnsi" w:eastAsiaTheme="minorEastAsia" w:cstheme="minorBidi"/>
      <w:kern w:val="2"/>
      <w:sz w:val="21"/>
      <w:szCs w:val="22"/>
    </w:rPr>
  </w:style>
  <w:style w:type="character" w:customStyle="1" w:styleId="41">
    <w:name w:val="批注主题 字符"/>
    <w:basedOn w:val="40"/>
    <w:link w:val="24"/>
    <w:semiHidden/>
    <w:qFormat/>
    <w:uiPriority w:val="99"/>
    <w:rPr>
      <w:rFonts w:asciiTheme="minorHAnsi" w:hAnsiTheme="minorHAnsi" w:eastAsiaTheme="minorEastAsia" w:cstheme="minorBidi"/>
      <w:b/>
      <w:bCs/>
      <w:kern w:val="2"/>
      <w:sz w:val="21"/>
      <w:szCs w:val="22"/>
    </w:rPr>
  </w:style>
  <w:style w:type="character" w:customStyle="1" w:styleId="42">
    <w:name w:val="标题 1 字符"/>
    <w:basedOn w:val="28"/>
    <w:link w:val="4"/>
    <w:qFormat/>
    <w:uiPriority w:val="0"/>
    <w:rPr>
      <w:rFonts w:eastAsia="微软雅黑"/>
      <w:b/>
      <w:bCs/>
      <w:kern w:val="44"/>
      <w:sz w:val="32"/>
      <w:szCs w:val="28"/>
    </w:rPr>
  </w:style>
  <w:style w:type="character" w:customStyle="1" w:styleId="43">
    <w:name w:val="标题 6 字符"/>
    <w:basedOn w:val="28"/>
    <w:link w:val="10"/>
    <w:qFormat/>
    <w:uiPriority w:val="0"/>
    <w:rPr>
      <w:rFonts w:ascii="Cambria" w:hAnsi="Cambria"/>
      <w:b/>
      <w:bCs/>
      <w:kern w:val="2"/>
      <w:sz w:val="24"/>
      <w:szCs w:val="24"/>
      <w:lang w:val="zh-CN"/>
    </w:rPr>
  </w:style>
  <w:style w:type="character" w:customStyle="1" w:styleId="44">
    <w:name w:val="标题 7 字符"/>
    <w:basedOn w:val="28"/>
    <w:link w:val="11"/>
    <w:qFormat/>
    <w:uiPriority w:val="0"/>
    <w:rPr>
      <w:b/>
      <w:bCs/>
      <w:kern w:val="2"/>
      <w:sz w:val="21"/>
      <w:szCs w:val="24"/>
    </w:rPr>
  </w:style>
  <w:style w:type="character" w:customStyle="1" w:styleId="45">
    <w:name w:val="标题 8 字符"/>
    <w:basedOn w:val="28"/>
    <w:link w:val="12"/>
    <w:qFormat/>
    <w:uiPriority w:val="0"/>
    <w:rPr>
      <w:rFonts w:asciiTheme="majorHAnsi" w:hAnsiTheme="majorHAnsi" w:eastAsiaTheme="majorEastAsia" w:cstheme="majorBidi"/>
      <w:kern w:val="2"/>
      <w:sz w:val="21"/>
      <w:szCs w:val="24"/>
    </w:rPr>
  </w:style>
  <w:style w:type="character" w:customStyle="1" w:styleId="46">
    <w:name w:val="标题 9 字符"/>
    <w:basedOn w:val="28"/>
    <w:link w:val="13"/>
    <w:qFormat/>
    <w:uiPriority w:val="0"/>
    <w:rPr>
      <w:rFonts w:asciiTheme="majorHAnsi" w:hAnsiTheme="majorHAnsi" w:eastAsiaTheme="majorEastAsia" w:cstheme="majorBidi"/>
      <w:kern w:val="2"/>
      <w:sz w:val="21"/>
      <w:szCs w:val="21"/>
    </w:rPr>
  </w:style>
  <w:style w:type="character" w:customStyle="1" w:styleId="47">
    <w:name w:val="正文2 字符"/>
    <w:basedOn w:val="28"/>
    <w:link w:val="5"/>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359970-23C4-4585-944B-24BE7B39B72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517</Words>
  <Characters>2949</Characters>
  <Lines>24</Lines>
  <Paragraphs>6</Paragraphs>
  <TotalTime>5</TotalTime>
  <ScaleCrop>false</ScaleCrop>
  <LinksUpToDate>false</LinksUpToDate>
  <CharactersWithSpaces>3460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2022-02-07T02:48:00Z</dcterms:created>
  <dc:creator>USER</dc:creator>
  <cp:lastModifiedBy>飞鱼</cp:lastModifiedBy>
  <cp:lastPrinted>2022-03-30T08:59:00Z</cp:lastPrinted>
  <dcterms:modified xsi:type="dcterms:W3CDTF">2023-11-15T07:34:40Z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423375864_btnclosed</vt:lpwstr>
  </property>
  <property fmtid="{D5CDD505-2E9C-101B-9397-08002B2CF9AE}" pid="3" name="KSOProductBuildVer">
    <vt:lpwstr>2052-12.1.0.15712</vt:lpwstr>
  </property>
  <property fmtid="{D5CDD505-2E9C-101B-9397-08002B2CF9AE}" pid="4" name="ICV">
    <vt:lpwstr>06361B8EC7874B60B5BF0A1C26DB832A_13</vt:lpwstr>
  </property>
</Properties>
</file>