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bookmarkStart w:id="0" w:name="_Hlk70187013"/>
      <w:r>
        <w:rPr>
          <w:rFonts w:ascii="Times New Roman" w:hAnsi="Times New Roman" w:eastAsia="黑体" w:cs="Times New Roman"/>
          <w:sz w:val="44"/>
          <w:szCs w:val="44"/>
        </w:rPr>
        <w:t>南通市</w:t>
      </w:r>
      <w:r>
        <w:rPr>
          <w:rFonts w:hint="eastAsia" w:ascii="Times New Roman" w:hAnsi="Times New Roman" w:eastAsia="黑体" w:cs="Times New Roman"/>
          <w:sz w:val="44"/>
          <w:szCs w:val="44"/>
        </w:rPr>
        <w:t>行政审批局</w:t>
      </w:r>
      <w:bookmarkStart w:id="1" w:name="_Hlk90292570"/>
      <w:r>
        <w:rPr>
          <w:rFonts w:hint="eastAsia" w:ascii="Times New Roman" w:hAnsi="Times New Roman" w:eastAsia="黑体" w:cs="Times New Roman"/>
          <w:sz w:val="44"/>
          <w:szCs w:val="44"/>
        </w:rPr>
        <w:t>南通市域住所与经营场所分离登记系统核验改造项目</w:t>
      </w:r>
      <w:r>
        <w:rPr>
          <w:rFonts w:ascii="Times New Roman" w:hAnsi="Times New Roman" w:eastAsia="黑体" w:cs="Times New Roman"/>
          <w:sz w:val="44"/>
          <w:szCs w:val="44"/>
        </w:rPr>
        <w:t>采购</w:t>
      </w:r>
      <w:bookmarkEnd w:id="1"/>
      <w:r>
        <w:rPr>
          <w:rFonts w:ascii="Times New Roman" w:hAnsi="Times New Roman" w:eastAsia="黑体" w:cs="Times New Roman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根据《南通市行政审批局关于印发&lt;信息化项目采购管理规定&gt;的通知》（通行审发〔20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号）等文件要求，市行政审批局拟对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南通市域住所与经营场所分离登记系统核验改造项目进行</w:t>
      </w:r>
      <w:r>
        <w:rPr>
          <w:rFonts w:ascii="Times New Roman" w:hAnsi="Times New Roman" w:eastAsia="方正仿宋_GBK" w:cs="Times New Roman"/>
          <w:sz w:val="32"/>
          <w:szCs w:val="32"/>
        </w:rPr>
        <w:t>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一、项目名称：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南通市域住所与经营场所分离登记系统核验改造项目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项目预算：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5万元。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三、公示时间</w:t>
      </w:r>
      <w:r>
        <w:rPr>
          <w:rFonts w:ascii="Times New Roman" w:hAnsi="Times New Roman" w:eastAsia="仿宋_GB2312" w:cs="Times New Roman"/>
          <w:sz w:val="32"/>
          <w:szCs w:val="32"/>
        </w:rPr>
        <w:t>：2021年12月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sz w:val="32"/>
          <w:szCs w:val="32"/>
        </w:rPr>
        <w:t>：12月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日上午9:00至11:00，地点：工农南路150号政务中心主楼616办公室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来电报名或至现场报名均可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sz w:val="32"/>
          <w:szCs w:val="32"/>
        </w:rPr>
        <w:t>：12月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主楼六楼西会议室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上述时间和地点如有变动，另行通知。</w:t>
      </w:r>
    </w:p>
    <w:p>
      <w:pPr>
        <w:pStyle w:val="15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六、评标方式：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《南通市行政审批局关于印发&lt;信息化项目采购管理规定&gt;的通知》（通行审发〔20</w:t>
      </w:r>
      <w:r>
        <w:rPr>
          <w:rFonts w:hint="eastAsia" w:ascii="Times New Roman" w:eastAsia="方正仿宋_GBK"/>
          <w:sz w:val="32"/>
          <w:szCs w:val="32"/>
        </w:rPr>
        <w:t>21</w:t>
      </w:r>
      <w:r>
        <w:rPr>
          <w:rFonts w:ascii="Times New Roman" w:eastAsia="方正仿宋_GBK"/>
          <w:sz w:val="32"/>
          <w:szCs w:val="32"/>
        </w:rPr>
        <w:t>〕</w:t>
      </w:r>
      <w:r>
        <w:rPr>
          <w:rFonts w:hint="eastAsia" w:ascii="Times New Roman" w:eastAsia="方正仿宋_GBK"/>
          <w:sz w:val="32"/>
          <w:szCs w:val="32"/>
        </w:rPr>
        <w:t>14</w:t>
      </w:r>
      <w:r>
        <w:rPr>
          <w:rFonts w:ascii="Times New Roman" w:eastAsia="方正仿宋_GBK"/>
          <w:sz w:val="32"/>
          <w:szCs w:val="32"/>
        </w:rPr>
        <w:t>号）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kern w:val="2"/>
          <w:sz w:val="32"/>
          <w:szCs w:val="32"/>
        </w:rPr>
        <w:t>。</w:t>
      </w:r>
      <w:bookmarkStart w:id="45" w:name="_GoBack"/>
      <w:bookmarkEnd w:id="45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南通市域住所与经营场所分离登记系统核验改造项目需求</w:t>
      </w:r>
    </w:p>
    <w:p>
      <w:pPr>
        <w:spacing w:line="560" w:lineRule="exact"/>
        <w:ind w:left="2520" w:leftChars="0" w:right="320" w:firstLine="42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ind w:left="2520" w:leftChars="0" w:firstLine="42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sz w:val="32"/>
          <w:szCs w:val="32"/>
        </w:rPr>
        <w:t>年12月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2" w:name="_Hlk70189105"/>
      <w:bookmarkStart w:id="3" w:name="_Hlk70189144"/>
      <w:r>
        <w:rPr>
          <w:rFonts w:hint="eastAsia" w:ascii="Times New Roman" w:hAnsi="Times New Roman" w:eastAsia="黑体" w:cs="Times New Roman"/>
          <w:sz w:val="44"/>
          <w:szCs w:val="44"/>
        </w:rPr>
        <w:t>南通市域住所与经营场所分离登记系统核验改造项目需求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一、项目背景</w:t>
      </w:r>
    </w:p>
    <w:bookmarkEnd w:id="0"/>
    <w:bookmarkEnd w:id="2"/>
    <w:bookmarkEnd w:id="3"/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bookmarkStart w:id="4" w:name="_Toc344724549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根据江苏省政府关于进一步放宽市场主体住所（经营场所）登记条件的指导意见，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去年，南通市以崇川区为试点，改造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江苏省市场监督管理局网上登记系统，试点推行住所（经营场所）申报承诺制，住所（经营场所）与标准地址、不动产信息进行核验。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今年，拟全市推广住所（经营场所）申报承诺制，并同时试点住所与经营场所分离登记，需对应改造相关系统。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二、建设内容</w:t>
      </w:r>
      <w:bookmarkStart w:id="5" w:name="_Toc536776912"/>
      <w:bookmarkEnd w:id="5"/>
      <w:bookmarkStart w:id="6" w:name="_Toc536776910"/>
      <w:bookmarkEnd w:id="6"/>
      <w:bookmarkStart w:id="7" w:name="_Toc476131748"/>
      <w:bookmarkEnd w:id="7"/>
      <w:bookmarkStart w:id="8" w:name="_Toc499191893"/>
      <w:bookmarkEnd w:id="8"/>
      <w:bookmarkStart w:id="9" w:name="_Toc475708681"/>
      <w:bookmarkEnd w:id="9"/>
      <w:bookmarkStart w:id="10" w:name="_Toc499136911"/>
      <w:bookmarkEnd w:id="10"/>
      <w:bookmarkStart w:id="11" w:name="_Toc466832963"/>
      <w:bookmarkEnd w:id="11"/>
      <w:bookmarkStart w:id="12" w:name="_Toc477621331"/>
      <w:bookmarkEnd w:id="12"/>
      <w:bookmarkStart w:id="13" w:name="_Toc536780370"/>
      <w:bookmarkEnd w:id="13"/>
      <w:bookmarkStart w:id="14" w:name="_Toc475738032"/>
      <w:bookmarkEnd w:id="14"/>
      <w:bookmarkStart w:id="15" w:name="_Toc478290112"/>
      <w:bookmarkEnd w:id="15"/>
      <w:bookmarkStart w:id="16" w:name="_Toc495239946"/>
      <w:bookmarkEnd w:id="16"/>
      <w:bookmarkStart w:id="17" w:name="_Toc536780372"/>
      <w:bookmarkEnd w:id="17"/>
      <w:bookmarkStart w:id="18" w:name="_Toc476148317"/>
      <w:bookmarkEnd w:id="18"/>
      <w:bookmarkStart w:id="19" w:name="_Toc478076996"/>
      <w:bookmarkEnd w:id="19"/>
      <w:bookmarkStart w:id="20" w:name="_Toc485743134"/>
      <w:bookmarkEnd w:id="20"/>
      <w:bookmarkStart w:id="21" w:name="_Toc466792962"/>
      <w:bookmarkEnd w:id="21"/>
      <w:bookmarkStart w:id="22" w:name="_Toc478077051"/>
      <w:bookmarkEnd w:id="22"/>
      <w:bookmarkStart w:id="23" w:name="_Toc477284613"/>
      <w:bookmarkEnd w:id="23"/>
      <w:bookmarkStart w:id="24" w:name="_Toc478290261"/>
      <w:bookmarkEnd w:id="24"/>
      <w:bookmarkStart w:id="25" w:name="_Toc536779340"/>
      <w:bookmarkEnd w:id="25"/>
      <w:bookmarkStart w:id="26" w:name="_Toc536779760"/>
      <w:bookmarkEnd w:id="26"/>
      <w:bookmarkStart w:id="27" w:name="_Toc475708600"/>
      <w:bookmarkEnd w:id="27"/>
      <w:bookmarkStart w:id="28" w:name="_Toc475707989"/>
      <w:bookmarkEnd w:id="28"/>
      <w:bookmarkStart w:id="29" w:name="_Toc477265847"/>
      <w:bookmarkEnd w:id="29"/>
      <w:bookmarkStart w:id="30" w:name="_Toc18506296"/>
      <w:bookmarkEnd w:id="30"/>
      <w:bookmarkStart w:id="31" w:name="_Toc536779758"/>
      <w:bookmarkEnd w:id="31"/>
      <w:bookmarkStart w:id="32" w:name="_Toc477284272"/>
      <w:bookmarkEnd w:id="32"/>
      <w:bookmarkStart w:id="33" w:name="_Toc536779338"/>
      <w:bookmarkEnd w:id="33"/>
      <w:bookmarkStart w:id="34" w:name="_Toc477284540"/>
      <w:bookmarkEnd w:id="34"/>
      <w:bookmarkStart w:id="35" w:name="_Toc494535757"/>
      <w:bookmarkEnd w:id="35"/>
      <w:bookmarkStart w:id="36" w:name="_Toc500286072"/>
      <w:bookmarkEnd w:id="36"/>
      <w:bookmarkStart w:id="37" w:name="_Toc478291271"/>
      <w:bookmarkEnd w:id="37"/>
      <w:bookmarkStart w:id="38" w:name="_Toc18506298"/>
      <w:bookmarkEnd w:id="38"/>
      <w:bookmarkStart w:id="39" w:name="_Toc499191820"/>
      <w:bookmarkEnd w:id="39"/>
      <w:bookmarkStart w:id="40" w:name="_Toc495262435"/>
      <w:bookmarkEnd w:id="40"/>
      <w:bookmarkStart w:id="41" w:name="_Toc500286074"/>
      <w:bookmarkStart w:id="42" w:name="_Toc26811"/>
    </w:p>
    <w:bookmarkEnd w:id="41"/>
    <w:bookmarkEnd w:id="42"/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（1）集群注册登记管理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优化集群注册登记管理模块，集群注册登记不核验标准地址；集群注册登记的市场主体减少“个体工商户”类型；将《集中办公企业住所（经营场所）信息资料》表格进行调整；</w:t>
      </w:r>
      <w:bookmarkStart w:id="43" w:name="_Toc789016026"/>
      <w:bookmarkStart w:id="44" w:name="_Toc1201880521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新增集群注册类型的校验</w:t>
      </w:r>
      <w:bookmarkEnd w:id="43"/>
      <w:bookmarkEnd w:id="44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功能；与关联业务系统进行数据同步，将标示为“集群登记”地址同步给关联业务系统。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（2）住所与经营场所分离管理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优化住所地址核验功能和住所（主要经营场所）信息承诺制申报，调整《市场主体住所（经营场所）申报承诺书》表格。调整核验模式，将住所与经营场所分离登记后，对住所、经营场所两个地址分别进行核验，住所的核验条件放宽，仅与标准地址核验，经营场所的核验条件不变，市场主体将住所作为经营场所使用的，按照经营场所的要求进行核验。住所与经营场所分离登记仅限于从事一般经营活动的市场主体，且属于同一县级登记机关管辖。。经营场所登记信息通过国家企业信用信息公示系统对外公示，同时通过江苏省市场监管平台推送给相关部门，实现经营场所登记信息在登记机关、许可审批部门、监管部门间互通互认。若住所（经营场所）未能通过核验，允许申请人录入地址，并提交住所（经营场所）使用证明。住所与经营场所分离登记的市场主体不包含“个体工商户”类型；合伙企业不在营业执照上记载的主要经营场所开展经营活动的，可以放宽按照住所要求办理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（3）综合业务系统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完善住所（经营场所）登记合法安全性有关提示功能。增加住所登记改革内容，变更、备案业务增加“一照多址”经营场所备案功能；提供住所信息在线核验接口，与实施《住所信息申报承诺制》改革有效衔接。“一照多址”的市场主体营业执照照面住所一栏中标注“一照多址”，集群注册登记的市场主体在营业执照照面住所（经营场所）后统一标注“集群登记”字样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（4）公示系统改造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a. 负面清单信息公示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经相关部门书面确认不能作为住所或经营场所登记的地址，实施“负面清单”管理，行政审批部门负责向社会公示，市场监管部门负责系统维护。负面清单通过公示平台对地址信息进行公示。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b. 一照多址公示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在国家企业信用信息公示系统（江苏）-地方频道上增加“一照多址”栏目，对相关信息进行公示。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c. 数据对接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公示系统与业务系统对接，建立增量对接机制，获取业务系统采集的负面清单信息和一照多址备案信息，</w:t>
      </w:r>
    </w:p>
    <w:p>
      <w:pPr>
        <w:tabs>
          <w:tab w:val="left" w:pos="5325"/>
        </w:tabs>
        <w:snapToGrid w:val="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pStyle w:val="16"/>
        <w:autoSpaceDE w:val="0"/>
        <w:autoSpaceDN w:val="0"/>
        <w:adjustRightInd w:val="0"/>
        <w:snapToGrid w:val="0"/>
        <w:ind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符合《中华人民共和国政府采购法》第22条规定；</w:t>
      </w:r>
    </w:p>
    <w:p>
      <w:pPr>
        <w:pStyle w:val="16"/>
        <w:autoSpaceDE w:val="0"/>
        <w:autoSpaceDN w:val="0"/>
        <w:adjustRightInd w:val="0"/>
        <w:snapToGrid w:val="0"/>
        <w:ind w:right="-197" w:rightChars="-94"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2、 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具有合法经营资格并能承担完全民事责任的独立法人。</w:t>
      </w:r>
    </w:p>
    <w:p>
      <w:pPr>
        <w:pStyle w:val="16"/>
        <w:tabs>
          <w:tab w:val="left" w:pos="5325"/>
        </w:tabs>
        <w:snapToGrid w:val="0"/>
        <w:ind w:firstLine="0" w:firstLineChars="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供应商开标时需携带的材料</w:t>
      </w:r>
    </w:p>
    <w:p>
      <w:pPr>
        <w:pStyle w:val="18"/>
        <w:autoSpaceDE w:val="0"/>
        <w:autoSpaceDN w:val="0"/>
        <w:adjustRightInd w:val="0"/>
        <w:ind w:right="-197" w:rightChars="-94" w:firstLine="640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法定代表人参加投标的，提供法定代表人身份证复印件（加盖公章）；授权委托人参加投标的，提供法定代表人授权委托书、法定代表人和授权委托人身份证复印件（加盖公章）；</w:t>
      </w:r>
    </w:p>
    <w:p>
      <w:pPr>
        <w:pStyle w:val="16"/>
        <w:autoSpaceDE w:val="0"/>
        <w:autoSpaceDN w:val="0"/>
        <w:adjustRightInd w:val="0"/>
        <w:snapToGrid w:val="0"/>
        <w:spacing w:before="100" w:after="100"/>
        <w:ind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营业执照复印件（加盖公章）；</w:t>
      </w:r>
    </w:p>
    <w:p>
      <w:pPr>
        <w:pStyle w:val="16"/>
        <w:autoSpaceDE w:val="0"/>
        <w:autoSpaceDN w:val="0"/>
        <w:adjustRightInd w:val="0"/>
        <w:snapToGrid w:val="0"/>
        <w:spacing w:before="100" w:after="100"/>
        <w:ind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材料真实性及对供应要求的承诺（见附件）；</w:t>
      </w:r>
    </w:p>
    <w:p>
      <w:pPr>
        <w:pStyle w:val="16"/>
        <w:autoSpaceDE w:val="0"/>
        <w:autoSpaceDN w:val="0"/>
        <w:adjustRightInd w:val="0"/>
        <w:snapToGrid w:val="0"/>
        <w:spacing w:before="100" w:after="100"/>
        <w:ind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报价清单(加盖公章)。</w:t>
      </w:r>
    </w:p>
    <w:p>
      <w:pPr>
        <w:pStyle w:val="16"/>
        <w:autoSpaceDE w:val="0"/>
        <w:autoSpaceDN w:val="0"/>
        <w:adjustRightInd w:val="0"/>
        <w:snapToGrid w:val="0"/>
        <w:spacing w:before="100" w:after="100"/>
        <w:ind w:firstLine="640"/>
        <w:contextualSpacing/>
        <w:jc w:val="lef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应标技术方案。</w:t>
      </w:r>
    </w:p>
    <w:p>
      <w:pPr>
        <w:spacing w:line="520" w:lineRule="exact"/>
        <w:ind w:firstLine="720" w:firstLineChars="22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上述材料按顺序自编目录牢固装订成册，正本1份，副本1份，均需采用A4纸（图纸等除外），。谈判文件上要明确标注供应商全称及“正本”或“副本”字样，一旦正本和副本有差异以正本为准。谈判文件正本须打印并由法定代表人或其授权人签字并加盖公章。副本可复印，但须加盖公章。</w:t>
      </w:r>
    </w:p>
    <w:p>
      <w:pPr>
        <w:pStyle w:val="16"/>
        <w:tabs>
          <w:tab w:val="left" w:pos="5325"/>
        </w:tabs>
        <w:snapToGrid w:val="0"/>
        <w:spacing w:beforeLines="50" w:afterLines="50"/>
        <w:ind w:left="641" w:firstLine="0" w:firstLineChars="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ascii="黑体" w:hAnsi="黑体" w:eastAsia="黑体" w:cs="Times New Roman"/>
          <w:sz w:val="32"/>
          <w:szCs w:val="32"/>
        </w:rPr>
        <w:t>合同签订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采购结果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公示结束后无异议的由南通市行政审批局在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个工作日内签订合同。</w:t>
      </w:r>
    </w:p>
    <w:p>
      <w:pPr>
        <w:pStyle w:val="16"/>
        <w:tabs>
          <w:tab w:val="left" w:pos="5325"/>
        </w:tabs>
        <w:snapToGrid w:val="0"/>
        <w:spacing w:beforeLines="50" w:afterLines="50"/>
        <w:ind w:left="641" w:firstLine="0" w:firstLineChars="0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</w:t>
      </w:r>
      <w:r>
        <w:rPr>
          <w:rFonts w:ascii="黑体" w:hAnsi="黑体" w:eastAsia="黑体" w:cs="Times New Roman"/>
          <w:sz w:val="32"/>
          <w:szCs w:val="32"/>
        </w:rPr>
        <w:t>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按照中标价签订合同，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项目验收完成、</w:t>
      </w:r>
      <w:r>
        <w:rPr>
          <w:rFonts w:ascii="Times New Roman" w:hAnsi="Times New Roman" w:eastAsia="方正仿宋_GBK" w:cs="Times New Roman"/>
          <w:sz w:val="32"/>
          <w:szCs w:val="32"/>
        </w:rPr>
        <w:t>发票送达后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个工作日内支付合同价款的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全款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ascii="黑体" w:hAnsi="黑体" w:eastAsia="方正仿宋_GBK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材料真实性及对供应要求的承诺函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南通市域住</w:t>
      </w:r>
      <w:r>
        <w:rPr>
          <w:rFonts w:hint="eastAsia" w:ascii="仿宋" w:hAnsi="仿宋" w:eastAsia="仿宋" w:cs="Times New Roman"/>
          <w:sz w:val="30"/>
          <w:szCs w:val="30"/>
        </w:rPr>
        <w:t>所与经营场所分离登记系统核验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改造项目</w:t>
      </w:r>
      <w:r>
        <w:rPr>
          <w:rFonts w:hint="eastAsia" w:ascii="仿宋" w:hAnsi="仿宋" w:eastAsia="仿宋" w:cs="Times New Roman"/>
          <w:sz w:val="30"/>
          <w:szCs w:val="30"/>
        </w:rPr>
        <w:t>，我单位所提交的材料均为真实的，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且能提供满足供应要求的功能建设内容。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  <w:u w:val="single"/>
        </w:rPr>
      </w:pPr>
    </w:p>
    <w:bookmarkEnd w:id="4"/>
    <w:p>
      <w:pPr>
        <w:spacing w:line="52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560" w:right="1800" w:bottom="1440" w:left="1800" w:header="851" w:footer="6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1"/>
        <w:szCs w:val="21"/>
      </w:rPr>
      <w:id w:val="980586938"/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4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3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67AC5"/>
    <w:multiLevelType w:val="multilevel"/>
    <w:tmpl w:val="14E67AC5"/>
    <w:lvl w:ilvl="0" w:tentative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ind w:left="720" w:hanging="720"/>
      </w:pPr>
      <w:rPr>
        <w:rFonts w:hint="eastAsia" w:ascii="仿宋_GB2312" w:eastAsia="仿宋_GB2312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 w:ascii="仿宋_GB2312" w:eastAsia="仿宋_GB2312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eastAsia" w:ascii="仿宋_GB2312" w:eastAsia="仿宋_GB2312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A4"/>
    <w:rsid w:val="0003088A"/>
    <w:rsid w:val="00063538"/>
    <w:rsid w:val="00076635"/>
    <w:rsid w:val="000975A2"/>
    <w:rsid w:val="000A341B"/>
    <w:rsid w:val="000A44B1"/>
    <w:rsid w:val="000E1297"/>
    <w:rsid w:val="000F5FD0"/>
    <w:rsid w:val="00142AD5"/>
    <w:rsid w:val="00151E3F"/>
    <w:rsid w:val="00155B7B"/>
    <w:rsid w:val="001561C7"/>
    <w:rsid w:val="00157275"/>
    <w:rsid w:val="0016302E"/>
    <w:rsid w:val="001704CA"/>
    <w:rsid w:val="00173619"/>
    <w:rsid w:val="00174E19"/>
    <w:rsid w:val="001A2970"/>
    <w:rsid w:val="001A2B8F"/>
    <w:rsid w:val="001A6E57"/>
    <w:rsid w:val="002108F4"/>
    <w:rsid w:val="00227658"/>
    <w:rsid w:val="00251CA5"/>
    <w:rsid w:val="002613C4"/>
    <w:rsid w:val="002843F3"/>
    <w:rsid w:val="002A2B26"/>
    <w:rsid w:val="002A3026"/>
    <w:rsid w:val="002B24A1"/>
    <w:rsid w:val="002B3B40"/>
    <w:rsid w:val="002B47CE"/>
    <w:rsid w:val="002F2018"/>
    <w:rsid w:val="002F620E"/>
    <w:rsid w:val="00311F3E"/>
    <w:rsid w:val="00335B64"/>
    <w:rsid w:val="00366189"/>
    <w:rsid w:val="00381DBA"/>
    <w:rsid w:val="00393CD5"/>
    <w:rsid w:val="003B127A"/>
    <w:rsid w:val="003B50DE"/>
    <w:rsid w:val="003C59C8"/>
    <w:rsid w:val="003D6783"/>
    <w:rsid w:val="003F37DE"/>
    <w:rsid w:val="00425D03"/>
    <w:rsid w:val="00427288"/>
    <w:rsid w:val="004474F9"/>
    <w:rsid w:val="004565E0"/>
    <w:rsid w:val="00480B71"/>
    <w:rsid w:val="004822D1"/>
    <w:rsid w:val="00482C79"/>
    <w:rsid w:val="004A47A2"/>
    <w:rsid w:val="00507074"/>
    <w:rsid w:val="00515913"/>
    <w:rsid w:val="005431FF"/>
    <w:rsid w:val="00565C8F"/>
    <w:rsid w:val="0057561B"/>
    <w:rsid w:val="005B0960"/>
    <w:rsid w:val="005D40FE"/>
    <w:rsid w:val="005E3342"/>
    <w:rsid w:val="006135A4"/>
    <w:rsid w:val="00643047"/>
    <w:rsid w:val="00652BF8"/>
    <w:rsid w:val="006A381D"/>
    <w:rsid w:val="006C071D"/>
    <w:rsid w:val="006C7F22"/>
    <w:rsid w:val="006D32E9"/>
    <w:rsid w:val="00701AC2"/>
    <w:rsid w:val="00720CCB"/>
    <w:rsid w:val="00736852"/>
    <w:rsid w:val="007463DF"/>
    <w:rsid w:val="007661A4"/>
    <w:rsid w:val="007666CE"/>
    <w:rsid w:val="0076673B"/>
    <w:rsid w:val="007759E6"/>
    <w:rsid w:val="00784AB2"/>
    <w:rsid w:val="007B014E"/>
    <w:rsid w:val="007C5A5D"/>
    <w:rsid w:val="007C6A1D"/>
    <w:rsid w:val="007D5822"/>
    <w:rsid w:val="008005E6"/>
    <w:rsid w:val="00822A80"/>
    <w:rsid w:val="00870F88"/>
    <w:rsid w:val="008A3513"/>
    <w:rsid w:val="008A651A"/>
    <w:rsid w:val="008D1B33"/>
    <w:rsid w:val="008D5553"/>
    <w:rsid w:val="00900BB9"/>
    <w:rsid w:val="00901E27"/>
    <w:rsid w:val="009178CB"/>
    <w:rsid w:val="00933662"/>
    <w:rsid w:val="00951867"/>
    <w:rsid w:val="00955618"/>
    <w:rsid w:val="00974D3E"/>
    <w:rsid w:val="009C2248"/>
    <w:rsid w:val="009E10D1"/>
    <w:rsid w:val="00A109D3"/>
    <w:rsid w:val="00A13AD3"/>
    <w:rsid w:val="00A34BAA"/>
    <w:rsid w:val="00A72772"/>
    <w:rsid w:val="00A85B96"/>
    <w:rsid w:val="00A93B25"/>
    <w:rsid w:val="00AE1C1A"/>
    <w:rsid w:val="00B01487"/>
    <w:rsid w:val="00B024BA"/>
    <w:rsid w:val="00B03DA0"/>
    <w:rsid w:val="00B62395"/>
    <w:rsid w:val="00B76C3D"/>
    <w:rsid w:val="00B92DB9"/>
    <w:rsid w:val="00BC571A"/>
    <w:rsid w:val="00BE3885"/>
    <w:rsid w:val="00C131BF"/>
    <w:rsid w:val="00C33214"/>
    <w:rsid w:val="00C42D66"/>
    <w:rsid w:val="00C63127"/>
    <w:rsid w:val="00C97DA6"/>
    <w:rsid w:val="00CA3887"/>
    <w:rsid w:val="00CC2FD4"/>
    <w:rsid w:val="00D14A58"/>
    <w:rsid w:val="00D17BEF"/>
    <w:rsid w:val="00D20E99"/>
    <w:rsid w:val="00D6240D"/>
    <w:rsid w:val="00D7523F"/>
    <w:rsid w:val="00DF0D98"/>
    <w:rsid w:val="00DF5845"/>
    <w:rsid w:val="00E4379C"/>
    <w:rsid w:val="00E469A8"/>
    <w:rsid w:val="00E86183"/>
    <w:rsid w:val="00EA2FC9"/>
    <w:rsid w:val="00EC71C3"/>
    <w:rsid w:val="00ED5B24"/>
    <w:rsid w:val="00EF3862"/>
    <w:rsid w:val="00F0538E"/>
    <w:rsid w:val="00F12234"/>
    <w:rsid w:val="00F305F0"/>
    <w:rsid w:val="00F30DEC"/>
    <w:rsid w:val="00FA329E"/>
    <w:rsid w:val="00FA4C70"/>
    <w:rsid w:val="00FF75EC"/>
    <w:rsid w:val="16FA3937"/>
    <w:rsid w:val="18026DF4"/>
    <w:rsid w:val="2F2375EF"/>
    <w:rsid w:val="31BC0BA2"/>
    <w:rsid w:val="362575FC"/>
    <w:rsid w:val="3E466D74"/>
    <w:rsid w:val="4D86770C"/>
    <w:rsid w:val="552159DD"/>
    <w:rsid w:val="56686E91"/>
    <w:rsid w:val="608F0419"/>
    <w:rsid w:val="61081953"/>
    <w:rsid w:val="61756C12"/>
    <w:rsid w:val="679333DD"/>
    <w:rsid w:val="744460E9"/>
    <w:rsid w:val="749113CE"/>
    <w:rsid w:val="76FD28A7"/>
    <w:rsid w:val="77C51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hAnsi="仿宋_GB2312" w:eastAsia="仿宋"/>
      <w:b/>
      <w:bCs/>
      <w:kern w:val="44"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网格型1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内容正文"/>
    <w:basedOn w:val="1"/>
    <w:qFormat/>
    <w:uiPriority w:val="0"/>
    <w:pPr>
      <w:snapToGrid w:val="0"/>
      <w:ind w:firstLine="200" w:firstLineChars="200"/>
      <w:contextualSpacing/>
      <w:jc w:val="left"/>
    </w:pPr>
    <w:rPr>
      <w:rFonts w:ascii="仿宋" w:hAnsi="仿宋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B793B-FA96-485F-88A4-6FFA65595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1988</Characters>
  <Lines>16</Lines>
  <Paragraphs>4</Paragraphs>
  <TotalTime>8</TotalTime>
  <ScaleCrop>false</ScaleCrop>
  <LinksUpToDate>false</LinksUpToDate>
  <CharactersWithSpaces>2332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2021-07-12T06:39:00Z</dcterms:created>
  <dc:creator>USER</dc:creator>
  <cp:lastModifiedBy>飞鱼</cp:lastModifiedBy>
  <cp:lastPrinted>2021-05-25T06:59:00Z</cp:lastPrinted>
  <dcterms:modified xsi:type="dcterms:W3CDTF">2021-12-24T07:47:35Z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423375864_btnclosed</vt:lpwstr>
  </property>
  <property fmtid="{D5CDD505-2E9C-101B-9397-08002B2CF9AE}" pid="3" name="KSOProductBuildVer">
    <vt:lpwstr>2052-11.1.0.11035</vt:lpwstr>
  </property>
  <property fmtid="{D5CDD505-2E9C-101B-9397-08002B2CF9AE}" pid="4" name="ICV">
    <vt:lpwstr>C2C80AEC874844AE959D309A8BFFE3FE</vt:lpwstr>
  </property>
</Properties>
</file>