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wordWrap/>
        <w:overflowPunct/>
        <w:bidi w:val="0"/>
        <w:spacing w:line="240" w:lineRule="auto"/>
        <w:jc w:val="center"/>
        <w:rPr>
          <w:rFonts w:hint="eastAsia" w:ascii="方正小标宋_GBK" w:hAnsi="方正小标宋_GBK" w:eastAsia="方正小标宋_GBK" w:cs="方正小标宋_GBK"/>
          <w:sz w:val="44"/>
          <w:szCs w:val="44"/>
        </w:rPr>
      </w:pPr>
      <w:bookmarkStart w:id="0" w:name="_Hlk70187013"/>
      <w:bookmarkStart w:id="1" w:name="_Hlk70189105"/>
      <w:bookmarkStart w:id="2" w:name="_Hlk70189144"/>
      <w:r>
        <w:rPr>
          <w:rFonts w:hint="eastAsia" w:ascii="方正小标宋_GBK" w:hAnsi="方正小标宋_GBK" w:eastAsia="方正小标宋_GBK" w:cs="方正小标宋_GBK"/>
          <w:kern w:val="2"/>
          <w:sz w:val="44"/>
          <w:szCs w:val="44"/>
          <w:lang w:val="en-US" w:eastAsia="zh-CN" w:bidi="ar-SA"/>
        </w:rPr>
        <w:t>南通市行政审批局“一件事”功能完善拓展项目</w:t>
      </w:r>
      <w:r>
        <w:rPr>
          <w:rFonts w:hint="eastAsia" w:ascii="方正小标宋_GBK" w:hAnsi="方正小标宋_GBK" w:eastAsia="方正小标宋_GBK" w:cs="方正小标宋_GBK"/>
          <w:sz w:val="44"/>
          <w:szCs w:val="44"/>
        </w:rPr>
        <w:t>竞争性磋商</w:t>
      </w:r>
      <w:r>
        <w:rPr>
          <w:rFonts w:hint="eastAsia" w:ascii="方正小标宋_GBK" w:hAnsi="方正小标宋_GBK" w:eastAsia="方正小标宋_GBK" w:cs="方正小标宋_GBK"/>
          <w:sz w:val="44"/>
          <w:szCs w:val="44"/>
          <w:lang w:val="en-US" w:eastAsia="zh-CN"/>
        </w:rPr>
        <w:t>采购</w:t>
      </w:r>
      <w:r>
        <w:rPr>
          <w:rFonts w:hint="eastAsia" w:ascii="方正小标宋_GBK" w:hAnsi="方正小标宋_GBK" w:eastAsia="方正小标宋_GBK" w:cs="方正小标宋_GBK"/>
          <w:color w:val="auto"/>
          <w:sz w:val="44"/>
          <w:szCs w:val="44"/>
        </w:rPr>
        <w:t>需求</w:t>
      </w:r>
    </w:p>
    <w:p>
      <w:pPr>
        <w:keepNext w:val="0"/>
        <w:keepLines w:val="0"/>
        <w:pageBreakBefore w:val="0"/>
        <w:tabs>
          <w:tab w:val="left" w:pos="5325"/>
        </w:tabs>
        <w:wordWrap/>
        <w:overflowPunct/>
        <w:bidi w:val="0"/>
        <w:snapToGrid w:val="0"/>
        <w:spacing w:line="240" w:lineRule="auto"/>
        <w:contextualSpacing/>
        <w:rPr>
          <w:rFonts w:hint="default" w:ascii="黑体" w:hAnsi="黑体" w:eastAsia="黑体" w:cs="Times New Roman"/>
          <w:sz w:val="32"/>
          <w:szCs w:val="32"/>
          <w:lang w:val="en-US" w:eastAsia="zh-CN"/>
        </w:rPr>
      </w:pPr>
      <w:r>
        <w:rPr>
          <w:rFonts w:hint="eastAsia" w:ascii="黑体" w:hAnsi="黑体" w:eastAsia="黑体" w:cs="Times New Roman"/>
          <w:sz w:val="32"/>
          <w:szCs w:val="32"/>
        </w:rPr>
        <w:t>一、</w:t>
      </w:r>
      <w:r>
        <w:rPr>
          <w:rFonts w:hint="eastAsia" w:ascii="黑体" w:hAnsi="黑体" w:eastAsia="黑体" w:cs="Times New Roman"/>
          <w:sz w:val="32"/>
          <w:szCs w:val="32"/>
          <w:lang w:val="en-US" w:eastAsia="zh-CN"/>
        </w:rPr>
        <w:t>项目概况</w:t>
      </w:r>
    </w:p>
    <w:p>
      <w:pPr>
        <w:keepNext/>
        <w:keepLines/>
        <w:outlineLvl w:val="1"/>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1.1、项目背景</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根据《关于印发江苏省推进开药店“一件事”改革实施方案的通知》和《关于印发江苏省新生儿出生“一件事”技术规范的通知》文件要求</w:t>
      </w:r>
      <w:r>
        <w:rPr>
          <w:rFonts w:hint="eastAsia" w:ascii="方正仿宋_GBK" w:hAnsi="方正仿宋_GBK" w:eastAsia="方正仿宋_GBK" w:cs="方正仿宋_GBK"/>
          <w:sz w:val="28"/>
          <w:szCs w:val="28"/>
          <w:lang w:val="zh-CN"/>
        </w:rPr>
        <w:t>，南通市按照审批服务便民化的工作要求，积极落实“一门一网一次”政务服务改革举措，全力推进“一件事”改革相关工作。通过与市县一体化在线政务服务平台进行衔接，在江苏政务服务</w:t>
      </w:r>
      <w:r>
        <w:rPr>
          <w:rFonts w:hint="eastAsia" w:ascii="方正仿宋_GBK" w:hAnsi="方正仿宋_GBK" w:eastAsia="方正仿宋_GBK" w:cs="方正仿宋_GBK"/>
          <w:sz w:val="28"/>
          <w:szCs w:val="28"/>
          <w:lang w:val="en-US" w:eastAsia="zh-CN"/>
        </w:rPr>
        <w:t>网南通</w:t>
      </w:r>
      <w:r>
        <w:rPr>
          <w:rFonts w:hint="eastAsia" w:ascii="方正仿宋_GBK" w:hAnsi="方正仿宋_GBK" w:eastAsia="方正仿宋_GBK" w:cs="方正仿宋_GBK"/>
          <w:sz w:val="28"/>
          <w:szCs w:val="28"/>
          <w:lang w:val="zh-CN"/>
        </w:rPr>
        <w:t>旗舰店开设新生儿出生“一件事”专栏和开药店“一件事”专栏，同时在南通市县一体化政务服务管理平台建设“一件事”综合受理系统进行统一受理和后台配置，完善南通市政务服务一体化体系建设，有效提升南通市政务服务的服务范围办事效率，促进群众办事“好办、易办”，推动“放管服”改革，打造透明政府、法治政府和服务型政府。</w:t>
      </w:r>
    </w:p>
    <w:p>
      <w:pPr>
        <w:keepNext/>
        <w:keepLines/>
        <w:outlineLvl w:val="1"/>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1.2、建设目标</w:t>
      </w:r>
    </w:p>
    <w:p>
      <w:pPr>
        <w:ind w:firstLine="560" w:firstLineChars="200"/>
        <w:rPr>
          <w:rFonts w:hint="eastAsia" w:ascii="Times New Roman" w:hAnsi="Times New Roman" w:eastAsia="方正仿宋_GBK" w:cs="Times New Roman"/>
          <w:sz w:val="28"/>
          <w:szCs w:val="28"/>
          <w:lang w:val="zh-CN" w:eastAsia="zh-CN"/>
        </w:rPr>
      </w:pPr>
      <w:r>
        <w:rPr>
          <w:rFonts w:hint="eastAsia" w:ascii="方正仿宋_GBK" w:hAnsi="方正仿宋_GBK" w:eastAsia="方正仿宋_GBK" w:cs="方正仿宋_GBK"/>
          <w:sz w:val="28"/>
          <w:szCs w:val="28"/>
          <w:lang w:val="zh-CN"/>
        </w:rPr>
        <w:t>目前江苏省已建设江苏省新生儿出生“一件事”信息系统，现南通市需在江苏政务服务旗舰店开设新生儿出生“一件事”专栏，并与省平台进行对接，实现南通市新生儿出生“一件事”的相关事项线上线下联办。同时以实现新开办零售药店“一件事”联办、高效办为目标，通过建立健全系统联动、部门协同机制和实施主题集成服务，按照“循序渐进、先易后难”的原则，将开办药店涉及或可能涉及的药品经营许可、第三类医疗器械经营许可、第二类医疗器械经营备案、仅销售预包装食品经营者备案、店招标牌备案及公众聚集场所投入使用、营业前消防安全检查等相关政务服务事项，进行联动办理、关联审批，在全省范围内形成线上线下一体化服务新模式，进一步提升企业和群众的获得感和满意度。</w:t>
      </w:r>
    </w:p>
    <w:p>
      <w:pPr>
        <w:keepNext w:val="0"/>
        <w:keepLines w:val="0"/>
        <w:pageBreakBefore w:val="0"/>
        <w:tabs>
          <w:tab w:val="left" w:pos="5325"/>
        </w:tabs>
        <w:wordWrap/>
        <w:overflowPunct/>
        <w:bidi w:val="0"/>
        <w:snapToGrid w:val="0"/>
        <w:spacing w:line="240" w:lineRule="auto"/>
        <w:contextualSpacing/>
        <w:rPr>
          <w:rFonts w:hint="default" w:ascii="黑体" w:hAnsi="黑体" w:eastAsia="黑体" w:cs="Times New Roman"/>
          <w:sz w:val="32"/>
          <w:szCs w:val="32"/>
          <w:lang w:val="en-US" w:eastAsia="zh-CN"/>
        </w:rPr>
      </w:pPr>
      <w:r>
        <w:rPr>
          <w:rFonts w:hint="eastAsia" w:ascii="黑体" w:hAnsi="黑体" w:eastAsia="黑体" w:cs="Times New Roman"/>
          <w:sz w:val="32"/>
          <w:szCs w:val="32"/>
        </w:rPr>
        <w:t>二、</w:t>
      </w:r>
      <w:r>
        <w:rPr>
          <w:rFonts w:hint="eastAsia" w:ascii="黑体" w:hAnsi="黑体" w:eastAsia="黑体" w:cs="Times New Roman"/>
          <w:sz w:val="32"/>
          <w:szCs w:val="32"/>
          <w:lang w:val="zh-CN" w:eastAsia="zh-CN"/>
        </w:rPr>
        <w:t>总体设计</w:t>
      </w:r>
    </w:p>
    <w:p>
      <w:pPr>
        <w:keepNext/>
        <w:keepLines/>
        <w:outlineLvl w:val="1"/>
        <w:rPr>
          <w:rFonts w:hint="eastAsia" w:ascii="方正仿宋_GBK" w:hAnsi="方正仿宋_GBK" w:eastAsia="方正仿宋_GBK" w:cs="方正仿宋_GBK"/>
          <w:bCs w:val="0"/>
          <w:kern w:val="2"/>
          <w:sz w:val="28"/>
          <w:szCs w:val="28"/>
          <w:lang w:val="en-US" w:eastAsia="zh-CN" w:bidi="ar-SA"/>
        </w:rPr>
      </w:pPr>
      <w:bookmarkStart w:id="3" w:name="_Toc530493919"/>
      <w:r>
        <w:rPr>
          <w:rFonts w:hint="eastAsia" w:ascii="方正仿宋_GBK" w:hAnsi="方正仿宋_GBK" w:eastAsia="方正仿宋_GBK" w:cs="方正仿宋_GBK"/>
          <w:bCs w:val="0"/>
          <w:kern w:val="2"/>
          <w:sz w:val="28"/>
          <w:szCs w:val="28"/>
          <w:lang w:val="en-US" w:eastAsia="zh-CN" w:bidi="ar-SA"/>
        </w:rPr>
        <w:t>2.1、标准化、规范化</w:t>
      </w:r>
      <w:bookmarkEnd w:id="3"/>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标准化是支撑电子政务的重要手段，电子政务工程首先应遵循国际上成熟的、通用的标准、规范和协议。其次是要遵照执行国家颁布的现有法律、标准以及即将推出的各类规范，如《中华人民共和国电子签名法》、《基于XML电子公文格式规范》、《XML在电子政务中的应用指南》、《电子政务流程设计方法通用规范》等。再次是参考本地区有关技术规范和技术要求。同时基于当地电子政务建设的具体需要，补充和完善地方电子政务标准，用于规范将来各类电子政务应用建设，为电子政务应用整合和后期工程建设打下坚实基础。</w:t>
      </w:r>
    </w:p>
    <w:p>
      <w:pPr>
        <w:keepNext/>
        <w:keepLines/>
        <w:outlineLvl w:val="1"/>
        <w:rPr>
          <w:rFonts w:hint="eastAsia" w:ascii="方正仿宋_GBK" w:hAnsi="方正仿宋_GBK" w:eastAsia="方正仿宋_GBK" w:cs="方正仿宋_GBK"/>
          <w:bCs w:val="0"/>
          <w:kern w:val="2"/>
          <w:sz w:val="28"/>
          <w:szCs w:val="28"/>
          <w:lang w:val="en-US" w:eastAsia="zh-CN" w:bidi="ar-SA"/>
        </w:rPr>
      </w:pPr>
      <w:bookmarkStart w:id="4" w:name="_Toc530493920"/>
      <w:r>
        <w:rPr>
          <w:rFonts w:hint="eastAsia" w:ascii="方正仿宋_GBK" w:hAnsi="方正仿宋_GBK" w:eastAsia="方正仿宋_GBK" w:cs="方正仿宋_GBK"/>
          <w:bCs w:val="0"/>
          <w:kern w:val="2"/>
          <w:sz w:val="28"/>
          <w:szCs w:val="28"/>
          <w:lang w:val="en-US" w:eastAsia="zh-CN" w:bidi="ar-SA"/>
        </w:rPr>
        <w:t>2.2、采用成熟技术和产品</w:t>
      </w:r>
      <w:bookmarkEnd w:id="4"/>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供应商必须采用先进成熟的技术和产品，自主开发的软件产品必须具有县（区）以上政府部门应用成功经验和实施案例，不允许在实施过程中作实验性开发或产品试用，确保工程建设质量和进度，防范开发集成过程中的技术风险和产品风险。</w:t>
      </w:r>
    </w:p>
    <w:p>
      <w:pPr>
        <w:keepNext/>
        <w:keepLines/>
        <w:outlineLvl w:val="1"/>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2.3、总体架构要求</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供应商应根据南通市新生儿“一件事”和开药店“一件事”项目建设要求，提供总体架构图。</w:t>
      </w:r>
    </w:p>
    <w:p>
      <w:pPr>
        <w:keepNext/>
        <w:keepLines/>
        <w:outlineLvl w:val="1"/>
        <w:rPr>
          <w:rFonts w:hint="eastAsia" w:ascii="方正仿宋_GBK" w:hAnsi="方正仿宋_GBK" w:eastAsia="方正仿宋_GBK" w:cs="方正仿宋_GBK"/>
          <w:bCs w:val="0"/>
          <w:kern w:val="2"/>
          <w:sz w:val="28"/>
          <w:szCs w:val="28"/>
          <w:lang w:val="en-US" w:eastAsia="zh-CN" w:bidi="ar-SA"/>
        </w:rPr>
      </w:pPr>
      <w:bookmarkStart w:id="5" w:name="_Toc530493921"/>
      <w:r>
        <w:rPr>
          <w:rFonts w:hint="eastAsia" w:ascii="方正仿宋_GBK" w:hAnsi="方正仿宋_GBK" w:eastAsia="方正仿宋_GBK" w:cs="方正仿宋_GBK"/>
          <w:bCs w:val="0"/>
          <w:kern w:val="2"/>
          <w:sz w:val="28"/>
          <w:szCs w:val="28"/>
          <w:lang w:val="en-US" w:eastAsia="zh-CN" w:bidi="ar-SA"/>
        </w:rPr>
        <w:t>2.4、技术路线要求</w:t>
      </w:r>
      <w:bookmarkEnd w:id="5"/>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要求基于Java EE技术路线、采用微服务架构进行设计实现，平台需支持在高并发用户访问、海量数据高频存取、智能数据快速检索等方面的特性；平台业务基于微服务架构设计原则实现业务的服务化、组件化，避免传统烟囱式应用中资源难以共享、资源利用率低、无法快速响应客户需求变化等问题；平台需要能支持微服务架构下的分布式事务，提供回滚机制，确保业务流程数据的一致性；需要支持服务调用链分析，自动分析服务依赖的压力点、易故障点和瓶颈点，实现业务的隔离解耦、敏捷运维。</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要求引入分布式缓存、消息队列、非结构化数据库、云存储等关键支撑组件，充分分析业务性能瓶颈找到关键支撑组件的应用场景，充分利用支撑组件的特性提升系统运行效率，充分发挥“云”环境优势。</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需要支持分布式、容器化部署；支持水平</w:t>
      </w:r>
      <w:bookmarkStart w:id="35" w:name="_GoBack"/>
      <w:r>
        <w:rPr>
          <w:rFonts w:hint="eastAsia" w:ascii="方正仿宋_GBK" w:hAnsi="方正仿宋_GBK" w:eastAsia="方正仿宋_GBK" w:cs="方正仿宋_GBK"/>
          <w:sz w:val="28"/>
          <w:szCs w:val="28"/>
          <w:lang w:val="zh-CN"/>
        </w:rPr>
        <w:t>扩展</w:t>
      </w:r>
      <w:bookmarkEnd w:id="35"/>
      <w:r>
        <w:rPr>
          <w:rFonts w:hint="eastAsia" w:ascii="方正仿宋_GBK" w:hAnsi="方正仿宋_GBK" w:eastAsia="方正仿宋_GBK" w:cs="方正仿宋_GBK"/>
          <w:sz w:val="28"/>
          <w:szCs w:val="28"/>
          <w:lang w:val="zh-CN"/>
        </w:rPr>
        <w:t>，充分利用云平台和容器化技术的优势，建立弹性的应用与服务资源池，通过应用与服务的负载均衡策略提升系统的整体并发能力；通过读写库分离、冷热数据分离、历史数据分离的设计，提升数据库层的并发能力；读写分离技术需要支持基于规则的分片策略、完善的SQL解析引擎，无需修改已上线业务代码能实现瓶颈大数据表的快速分库分表支持。</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需要支持持续集成和持续交付，支持以容器为载体，实现软件系统从开发、测试到部署和运维的一体化管理，提高软件开发部署的效能，迅速响应业务的需求。</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系统需采用前后端分离的架构开发。前端UI需基于Javascript、Css、Html等标准技术进行开发，通过AJAX通讯机制实现UI和服务、数据分离的开发模型。</w:t>
      </w:r>
    </w:p>
    <w:p>
      <w:pPr>
        <w:keepNext/>
        <w:keepLines/>
        <w:outlineLvl w:val="1"/>
        <w:rPr>
          <w:rFonts w:hint="eastAsia" w:ascii="方正仿宋_GBK" w:hAnsi="方正仿宋_GBK" w:eastAsia="方正仿宋_GBK" w:cs="方正仿宋_GBK"/>
          <w:bCs w:val="0"/>
          <w:kern w:val="2"/>
          <w:sz w:val="28"/>
          <w:szCs w:val="28"/>
          <w:lang w:val="en-US" w:eastAsia="zh-CN" w:bidi="ar-SA"/>
        </w:rPr>
      </w:pPr>
      <w:bookmarkStart w:id="6" w:name="_Toc530493922"/>
      <w:r>
        <w:rPr>
          <w:rFonts w:hint="eastAsia" w:ascii="方正仿宋_GBK" w:hAnsi="方正仿宋_GBK" w:eastAsia="方正仿宋_GBK" w:cs="方正仿宋_GBK"/>
          <w:bCs w:val="0"/>
          <w:kern w:val="2"/>
          <w:sz w:val="28"/>
          <w:szCs w:val="28"/>
          <w:lang w:val="en-US" w:eastAsia="zh-CN" w:bidi="ar-SA"/>
        </w:rPr>
        <w:t>2.5、系统性能需求</w:t>
      </w:r>
      <w:bookmarkEnd w:id="6"/>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系统性能要求主要如下：</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1、系统构件化设计，面向对象，可做到灵活扩展系统采用三层架构体系，充分考虑到以后纵向和横向的发展在网络稳定的环境下操作性界面的系统响应时间均要求小于3秒；</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2、系统支持正常1000个同时在线用户的性能要求；当200个用户并发请求同一个中等复杂度的事物时，响应时间不超过3秒；</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3、系统应提供7×24 小时的连续运行，平均年故障时间小于1天，平均故障修复时间小于30分钟。</w:t>
      </w:r>
    </w:p>
    <w:p>
      <w:pPr>
        <w:keepNext/>
        <w:keepLines/>
        <w:outlineLvl w:val="1"/>
        <w:rPr>
          <w:rFonts w:hint="eastAsia" w:ascii="方正仿宋_GBK" w:hAnsi="方正仿宋_GBK" w:eastAsia="方正仿宋_GBK" w:cs="方正仿宋_GBK"/>
          <w:bCs w:val="0"/>
          <w:kern w:val="2"/>
          <w:sz w:val="28"/>
          <w:szCs w:val="28"/>
          <w:lang w:val="en-US" w:eastAsia="zh-CN" w:bidi="ar-SA"/>
        </w:rPr>
      </w:pPr>
      <w:bookmarkStart w:id="7" w:name="_Toc530493923"/>
      <w:r>
        <w:rPr>
          <w:rFonts w:hint="eastAsia" w:ascii="方正仿宋_GBK" w:hAnsi="方正仿宋_GBK" w:eastAsia="方正仿宋_GBK" w:cs="方正仿宋_GBK"/>
          <w:bCs w:val="0"/>
          <w:kern w:val="2"/>
          <w:sz w:val="28"/>
          <w:szCs w:val="28"/>
          <w:lang w:val="en-US" w:eastAsia="zh-CN" w:bidi="ar-SA"/>
        </w:rPr>
        <w:t>2.6、安全需求</w:t>
      </w:r>
      <w:bookmarkEnd w:id="7"/>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系统建设不仅要提供稳定可靠、质量保证的政务服务，还要最大限度的保障数据信息资源的安全，保障系统平台运行的安全。</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系统的安全保证分为环境安全保障、系统安全配置保障、应用和数据库安全保障、安全保障基础设施保障、系统安全开发和实现保障等内容。</w:t>
      </w:r>
    </w:p>
    <w:p>
      <w:pPr>
        <w:keepNext w:val="0"/>
        <w:keepLines w:val="0"/>
        <w:pageBreakBefore w:val="0"/>
        <w:wordWrap/>
        <w:overflowPunct/>
        <w:autoSpaceDE w:val="0"/>
        <w:autoSpaceDN w:val="0"/>
        <w:bidi w:val="0"/>
        <w:adjustRightInd w:val="0"/>
        <w:snapToGrid w:val="0"/>
        <w:spacing w:line="240" w:lineRule="auto"/>
        <w:contextualSpacing/>
        <w:jc w:val="left"/>
        <w:rPr>
          <w:rFonts w:hint="eastAsia" w:ascii="仿宋" w:hAnsi="仿宋" w:eastAsia="仿宋" w:cs="Times New Roman"/>
          <w:kern w:val="0"/>
          <w:sz w:val="30"/>
          <w:szCs w:val="30"/>
          <w:lang w:val="en-US" w:eastAsia="zh-CN"/>
        </w:rPr>
      </w:pPr>
    </w:p>
    <w:p>
      <w:pPr>
        <w:keepNext w:val="0"/>
        <w:keepLines w:val="0"/>
        <w:pageBreakBefore w:val="0"/>
        <w:tabs>
          <w:tab w:val="left" w:pos="5325"/>
        </w:tabs>
        <w:wordWrap/>
        <w:overflowPunct/>
        <w:bidi w:val="0"/>
        <w:snapToGrid w:val="0"/>
        <w:spacing w:line="240" w:lineRule="auto"/>
        <w:contextualSpacing/>
        <w:rPr>
          <w:rFonts w:hint="eastAsia" w:ascii="黑体" w:hAnsi="黑体" w:eastAsia="黑体" w:cs="Times New Roman"/>
          <w:sz w:val="32"/>
          <w:szCs w:val="32"/>
          <w:lang w:val="en-US" w:eastAsia="zh-CN"/>
        </w:rPr>
      </w:pPr>
      <w:r>
        <w:rPr>
          <w:rFonts w:hint="eastAsia" w:ascii="黑体" w:hAnsi="黑体" w:eastAsia="黑体" w:cs="Times New Roman"/>
          <w:sz w:val="32"/>
          <w:szCs w:val="32"/>
        </w:rPr>
        <w:t>三、</w:t>
      </w:r>
      <w:r>
        <w:rPr>
          <w:rFonts w:hint="eastAsia" w:ascii="黑体" w:hAnsi="黑体" w:eastAsia="黑体" w:cs="Times New Roman"/>
          <w:kern w:val="2"/>
          <w:sz w:val="32"/>
          <w:szCs w:val="32"/>
          <w:lang w:val="zh-CN" w:eastAsia="zh-CN" w:bidi="ar-SA"/>
        </w:rPr>
        <w:t>建设内容</w:t>
      </w:r>
    </w:p>
    <w:p>
      <w:pPr>
        <w:keepNext/>
        <w:keepLines/>
        <w:outlineLvl w:val="1"/>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3.1、“一件事”外网申报</w:t>
      </w:r>
    </w:p>
    <w:p>
      <w:pPr>
        <w:keepNext/>
        <w:keepLines/>
        <w:outlineLvl w:val="2"/>
        <w:rPr>
          <w:rFonts w:hint="eastAsia" w:ascii="方正仿宋_GBK" w:hAnsi="方正仿宋_GBK" w:eastAsia="方正仿宋_GBK" w:cs="方正仿宋_GBK"/>
          <w:bCs w:val="0"/>
          <w:kern w:val="2"/>
          <w:sz w:val="28"/>
          <w:szCs w:val="28"/>
          <w:lang w:val="zh-CN" w:eastAsia="zh-CN" w:bidi="ar-SA"/>
        </w:rPr>
      </w:pPr>
      <w:r>
        <w:rPr>
          <w:rFonts w:hint="eastAsia" w:ascii="方正仿宋_GBK" w:hAnsi="方正仿宋_GBK" w:eastAsia="方正仿宋_GBK" w:cs="方正仿宋_GBK"/>
          <w:bCs w:val="0"/>
          <w:kern w:val="2"/>
          <w:sz w:val="28"/>
          <w:szCs w:val="28"/>
          <w:lang w:val="en-US" w:eastAsia="zh-CN" w:bidi="ar-SA"/>
        </w:rPr>
        <w:t>3.1.1、</w:t>
      </w:r>
      <w:r>
        <w:rPr>
          <w:rFonts w:hint="eastAsia" w:ascii="方正仿宋_GBK" w:hAnsi="方正仿宋_GBK" w:eastAsia="方正仿宋_GBK" w:cs="方正仿宋_GBK"/>
          <w:bCs w:val="0"/>
          <w:kern w:val="2"/>
          <w:sz w:val="28"/>
          <w:szCs w:val="28"/>
          <w:lang w:val="zh-CN" w:eastAsia="zh-CN" w:bidi="ar-SA"/>
        </w:rPr>
        <w:t>新生儿出生“一件事”外网申报</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基于江苏政务服务网实现申请人可以在外网对新生儿出生“一件事”进行申报。</w:t>
      </w:r>
    </w:p>
    <w:p>
      <w:pPr>
        <w:ind w:firstLine="560" w:firstLineChars="200"/>
        <w:rPr>
          <w:rFonts w:hint="eastAsia" w:ascii="方正仿宋_GBK" w:hAnsi="方正仿宋_GBK" w:eastAsia="方正仿宋_GBK" w:cs="方正仿宋_GBK"/>
          <w:sz w:val="28"/>
          <w:szCs w:val="28"/>
          <w:lang w:val="zh-CN"/>
        </w:rPr>
      </w:pPr>
      <w:bookmarkStart w:id="8" w:name="_Toc5118"/>
      <w:r>
        <w:rPr>
          <w:rFonts w:hint="eastAsia" w:ascii="方正仿宋_GBK" w:hAnsi="方正仿宋_GBK" w:eastAsia="方正仿宋_GBK" w:cs="方正仿宋_GBK"/>
          <w:sz w:val="28"/>
          <w:szCs w:val="28"/>
          <w:lang w:val="zh-CN"/>
        </w:rPr>
        <w:t>1、新生儿出生“一件事”专栏</w:t>
      </w:r>
      <w:bookmarkEnd w:id="8"/>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应提供新生儿出生“一件事”的专栏，基于“江苏政务服务”南通旗舰店，开设新生儿出生“一件事”专栏，专栏增加新生儿出生“一件事”申报功能，申请人可直接进行申报。</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由南通市统一开发申报端，申报人在“江苏政务服务”南通旗舰店登录后，点击“一件事”专栏的链接，进入到申报端填写申请材料。</w:t>
      </w:r>
    </w:p>
    <w:p>
      <w:pPr>
        <w:ind w:firstLine="560" w:firstLineChars="200"/>
        <w:rPr>
          <w:rFonts w:hint="eastAsia" w:ascii="方正仿宋_GBK" w:hAnsi="方正仿宋_GBK" w:eastAsia="方正仿宋_GBK" w:cs="方正仿宋_GBK"/>
          <w:sz w:val="28"/>
          <w:szCs w:val="28"/>
          <w:lang w:val="zh-CN"/>
        </w:rPr>
      </w:pPr>
      <w:bookmarkStart w:id="9" w:name="_Toc14598"/>
      <w:r>
        <w:rPr>
          <w:rFonts w:hint="eastAsia" w:ascii="方正仿宋_GBK" w:hAnsi="方正仿宋_GBK" w:eastAsia="方正仿宋_GBK" w:cs="方正仿宋_GBK"/>
          <w:sz w:val="28"/>
          <w:szCs w:val="28"/>
          <w:lang w:val="zh-CN"/>
        </w:rPr>
        <w:t>2、新生儿出生“一件事”一张表单</w:t>
      </w:r>
      <w:bookmarkEnd w:id="9"/>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申请人进行线上表单填写时，系统应提供综合表单填写功能，申请人只需填写一张表单，就可完成主题涉及各事项的申请表填写。</w:t>
      </w:r>
    </w:p>
    <w:p>
      <w:pPr>
        <w:keepNext/>
        <w:keepLines/>
        <w:outlineLvl w:val="2"/>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3.1.2、开药店“一件事”专栏</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应提供开药店“一件事”的专栏，基于“江苏政务服务”南通旗舰店，开设开药店“一件事”专栏，专栏增加药店“一件事”申报链接，链接到省局提供的统一申报界面，申请人可直接进行申报。</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由省局统一开发企业申报端，企业在“江苏政务服务”南通旗舰店登录后，点击“一件事”专栏的链接，进入到企业端填写申请材料。</w:t>
      </w:r>
    </w:p>
    <w:p>
      <w:pPr>
        <w:keepNext/>
        <w:keepLines/>
        <w:outlineLvl w:val="1"/>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3.2、“一件事”受理系统</w:t>
      </w:r>
    </w:p>
    <w:p>
      <w:pPr>
        <w:keepNext/>
        <w:keepLines/>
        <w:outlineLvl w:val="2"/>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3.2.1、新生儿出生“一件事”受理功能</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申请人申报材料提交后，应由南通市县一体化政务服务管理平台将申请信息推送至江苏省新生儿出生“一件事”信息系统，再依靠“江苏政务服务”提供的网络通道，推送至各部门业务系统。</w:t>
      </w:r>
    </w:p>
    <w:p>
      <w:pPr>
        <w:ind w:firstLine="560" w:firstLineChars="200"/>
        <w:rPr>
          <w:rFonts w:hint="eastAsia" w:ascii="方正仿宋_GBK" w:hAnsi="方正仿宋_GBK" w:eastAsia="方正仿宋_GBK" w:cs="方正仿宋_GBK"/>
          <w:sz w:val="28"/>
          <w:szCs w:val="28"/>
          <w:lang w:val="zh-CN"/>
        </w:rPr>
      </w:pPr>
      <w:bookmarkStart w:id="10" w:name="_Toc4195"/>
      <w:r>
        <w:rPr>
          <w:rFonts w:hint="eastAsia" w:ascii="方正仿宋_GBK" w:hAnsi="方正仿宋_GBK" w:eastAsia="方正仿宋_GBK" w:cs="方正仿宋_GBK"/>
          <w:sz w:val="28"/>
          <w:szCs w:val="28"/>
          <w:lang w:val="zh-CN"/>
        </w:rPr>
        <w:t>1、新生儿出生“一件事”功能配置模块</w:t>
      </w:r>
      <w:bookmarkEnd w:id="10"/>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应提供一件事功能配置模块，增加省出生一件事标识，标识出哪个主题是省对接的新生儿出生一件事。</w:t>
      </w:r>
    </w:p>
    <w:p>
      <w:pPr>
        <w:ind w:firstLine="560" w:firstLineChars="200"/>
        <w:rPr>
          <w:rFonts w:hint="eastAsia" w:ascii="方正仿宋_GBK" w:hAnsi="方正仿宋_GBK" w:eastAsia="方正仿宋_GBK" w:cs="方正仿宋_GBK"/>
          <w:sz w:val="28"/>
          <w:szCs w:val="28"/>
          <w:lang w:val="zh-CN"/>
        </w:rPr>
      </w:pPr>
      <w:bookmarkStart w:id="11" w:name="_Toc27584"/>
      <w:r>
        <w:rPr>
          <w:rFonts w:hint="eastAsia" w:ascii="方正仿宋_GBK" w:hAnsi="方正仿宋_GBK" w:eastAsia="方正仿宋_GBK" w:cs="方正仿宋_GBK"/>
          <w:sz w:val="28"/>
          <w:szCs w:val="28"/>
          <w:lang w:val="zh-CN"/>
        </w:rPr>
        <w:t>2、事项同步</w:t>
      </w:r>
      <w:bookmarkEnd w:id="11"/>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应同步江苏省新生儿出生“一件事”的事项标准化数据，需包括事项基本信息、办理流程、申报材料信息。</w:t>
      </w:r>
    </w:p>
    <w:p>
      <w:pPr>
        <w:ind w:firstLine="560" w:firstLineChars="200"/>
        <w:rPr>
          <w:rFonts w:hint="eastAsia" w:ascii="方正仿宋_GBK" w:hAnsi="方正仿宋_GBK" w:eastAsia="方正仿宋_GBK" w:cs="方正仿宋_GBK"/>
          <w:sz w:val="28"/>
          <w:szCs w:val="28"/>
          <w:lang w:val="zh-CN"/>
        </w:rPr>
      </w:pPr>
      <w:bookmarkStart w:id="12" w:name="_Toc16067"/>
      <w:r>
        <w:rPr>
          <w:rFonts w:hint="eastAsia" w:ascii="方正仿宋_GBK" w:hAnsi="方正仿宋_GBK" w:eastAsia="方正仿宋_GBK" w:cs="方正仿宋_GBK"/>
          <w:sz w:val="28"/>
          <w:szCs w:val="28"/>
          <w:lang w:val="zh-CN"/>
        </w:rPr>
        <w:t>3、窗口设置</w:t>
      </w:r>
      <w:bookmarkEnd w:id="12"/>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应提供新生儿出生“一件事”窗口设置功能，对窗口关联部门、人员、事项、权限进行统一配置管理，形成新生儿出生“一件事”窗口，方便申请人线下申请新生儿出生“一件事”。</w:t>
      </w:r>
    </w:p>
    <w:p>
      <w:pPr>
        <w:ind w:firstLine="560" w:firstLineChars="200"/>
        <w:rPr>
          <w:rFonts w:hint="eastAsia" w:ascii="方正仿宋_GBK" w:hAnsi="方正仿宋_GBK" w:eastAsia="方正仿宋_GBK" w:cs="方正仿宋_GBK"/>
          <w:sz w:val="28"/>
          <w:szCs w:val="28"/>
          <w:lang w:val="zh-CN"/>
        </w:rPr>
      </w:pPr>
      <w:bookmarkStart w:id="13" w:name="_Toc23002"/>
      <w:r>
        <w:rPr>
          <w:rFonts w:hint="eastAsia" w:ascii="方正仿宋_GBK" w:hAnsi="方正仿宋_GBK" w:eastAsia="方正仿宋_GBK" w:cs="方正仿宋_GBK"/>
          <w:sz w:val="28"/>
          <w:szCs w:val="28"/>
          <w:lang w:val="zh-CN"/>
        </w:rPr>
        <w:t>4、统一受理工作台</w:t>
      </w:r>
      <w:bookmarkEnd w:id="13"/>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新生儿出生“一件事”统一受理工作台，面向受理窗口工作人员，提供快捷、方便的专业受理工作台，实现集成受理服务、提高一窗受理效率，工作台集成新生儿出生“一件事”受理分类办理，同时支持业务分发后的业务单位单事项的受理。</w:t>
      </w:r>
    </w:p>
    <w:p>
      <w:pPr>
        <w:ind w:firstLine="560" w:firstLineChars="200"/>
        <w:rPr>
          <w:rFonts w:hint="eastAsia" w:ascii="方正仿宋_GBK" w:hAnsi="方正仿宋_GBK" w:eastAsia="方正仿宋_GBK" w:cs="方正仿宋_GBK"/>
          <w:sz w:val="28"/>
          <w:szCs w:val="28"/>
          <w:lang w:val="zh-CN"/>
        </w:rPr>
      </w:pPr>
      <w:bookmarkStart w:id="14" w:name="_Toc16863"/>
      <w:r>
        <w:rPr>
          <w:rFonts w:hint="eastAsia" w:ascii="方正仿宋_GBK" w:hAnsi="方正仿宋_GBK" w:eastAsia="方正仿宋_GBK" w:cs="方正仿宋_GBK"/>
          <w:sz w:val="28"/>
          <w:szCs w:val="28"/>
          <w:lang w:val="zh-CN"/>
        </w:rPr>
        <w:t>5、申报信息查看</w:t>
      </w:r>
      <w:bookmarkEnd w:id="14"/>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省新生儿出生“一件事”信息系统对接，实现将用户在线上申报的新生儿出生“一件事”办件信息同步至本地数据库，供相关工作人员进行详情查看办事人员办件信息，如可查看办理事项名称、事项基本信息、申报材料信息。</w:t>
      </w:r>
    </w:p>
    <w:p>
      <w:pPr>
        <w:keepNext/>
        <w:keepLines/>
        <w:outlineLvl w:val="2"/>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3.2.2、开药店“一件事”受理功能</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企业申报材料提交后，应依靠“江苏政务服务”提供的各市网络通道，由省局全量一次性推送企业申报材料给各设区市受理系统。</w:t>
      </w:r>
    </w:p>
    <w:p>
      <w:pPr>
        <w:ind w:firstLine="560" w:firstLineChars="200"/>
        <w:rPr>
          <w:rFonts w:hint="eastAsia" w:ascii="方正仿宋_GBK" w:hAnsi="方正仿宋_GBK" w:eastAsia="方正仿宋_GBK" w:cs="方正仿宋_GBK"/>
          <w:sz w:val="28"/>
          <w:szCs w:val="28"/>
          <w:lang w:val="zh-CN"/>
        </w:rPr>
      </w:pPr>
      <w:bookmarkStart w:id="15" w:name="_Toc5517"/>
      <w:r>
        <w:rPr>
          <w:rFonts w:hint="eastAsia" w:ascii="方正仿宋_GBK" w:hAnsi="方正仿宋_GBK" w:eastAsia="方正仿宋_GBK" w:cs="方正仿宋_GBK"/>
          <w:sz w:val="28"/>
          <w:szCs w:val="28"/>
          <w:lang w:val="zh-CN"/>
        </w:rPr>
        <w:t>1、事项同步</w:t>
      </w:r>
      <w:bookmarkEnd w:id="15"/>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应同步开药店“一件事”的事项标准化数据，需包括事项基本信息、办理流程、申报材料信息。</w:t>
      </w:r>
    </w:p>
    <w:p>
      <w:pPr>
        <w:ind w:firstLine="560" w:firstLineChars="200"/>
        <w:rPr>
          <w:rFonts w:hint="eastAsia" w:ascii="方正仿宋_GBK" w:hAnsi="方正仿宋_GBK" w:eastAsia="方正仿宋_GBK" w:cs="方正仿宋_GBK"/>
          <w:sz w:val="28"/>
          <w:szCs w:val="28"/>
          <w:lang w:val="zh-CN"/>
        </w:rPr>
      </w:pPr>
      <w:bookmarkStart w:id="16" w:name="_Toc29121"/>
      <w:r>
        <w:rPr>
          <w:rFonts w:hint="eastAsia" w:ascii="方正仿宋_GBK" w:hAnsi="方正仿宋_GBK" w:eastAsia="方正仿宋_GBK" w:cs="方正仿宋_GBK"/>
          <w:sz w:val="28"/>
          <w:szCs w:val="28"/>
          <w:lang w:val="zh-CN"/>
        </w:rPr>
        <w:t>2、窗口设置</w:t>
      </w:r>
      <w:bookmarkEnd w:id="16"/>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应提供开药店“一件事”窗口设置功能，对窗口关联部门、人员、事项、权限进行统一配置管理，形成开药店“一件事”窗口，方便企业线下申请开药店“一件事”。</w:t>
      </w:r>
    </w:p>
    <w:p>
      <w:pPr>
        <w:ind w:firstLine="560" w:firstLineChars="200"/>
        <w:rPr>
          <w:rFonts w:hint="eastAsia" w:ascii="方正仿宋_GBK" w:hAnsi="方正仿宋_GBK" w:eastAsia="方正仿宋_GBK" w:cs="方正仿宋_GBK"/>
          <w:sz w:val="28"/>
          <w:szCs w:val="28"/>
          <w:lang w:val="zh-CN"/>
        </w:rPr>
      </w:pPr>
      <w:bookmarkStart w:id="17" w:name="_Toc29739"/>
      <w:r>
        <w:rPr>
          <w:rFonts w:hint="eastAsia" w:ascii="方正仿宋_GBK" w:hAnsi="方正仿宋_GBK" w:eastAsia="方正仿宋_GBK" w:cs="方正仿宋_GBK"/>
          <w:sz w:val="28"/>
          <w:szCs w:val="28"/>
          <w:lang w:val="zh-CN"/>
        </w:rPr>
        <w:t>3、统一受理工作台</w:t>
      </w:r>
      <w:bookmarkEnd w:id="17"/>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开药店“一件事”统一受理工作台，面向受理窗口工作人员，提供快捷、方便的专业受理工作台，实现集成受理服务、提高一窗受理效率，工作台集成开药店“一件事”受理分类办理，同时支持业务分发后的业务单位单事项的受理。</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（1）受理</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应提供开药店“一件事”受理功能，省局统一受理企业申请的开药店“一件事”后，根据实际情况推送至对应地市受理系统，地市按照</w:t>
      </w:r>
      <w:r>
        <w:rPr>
          <w:rFonts w:hint="eastAsia" w:ascii="方正仿宋_GBK" w:hAnsi="方正仿宋_GBK" w:eastAsia="方正仿宋_GBK" w:cs="方正仿宋_GBK"/>
          <w:sz w:val="28"/>
          <w:szCs w:val="28"/>
          <w:lang w:val="en-US" w:eastAsia="zh-CN"/>
        </w:rPr>
        <w:t>省</w:t>
      </w:r>
      <w:r>
        <w:rPr>
          <w:rFonts w:hint="eastAsia" w:ascii="方正仿宋_GBK" w:hAnsi="方正仿宋_GBK" w:eastAsia="方正仿宋_GBK" w:cs="方正仿宋_GBK"/>
          <w:sz w:val="28"/>
          <w:szCs w:val="28"/>
          <w:lang w:val="zh-CN"/>
        </w:rPr>
        <w:t>局要求进行“一件事”受理。</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（2）业务分发</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根据开药店“一件事”主题事项，系统应根据申报事项信息，自动将事项分发给相关部门，交由部门进行后台审批。</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（3）信息共享</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在申请人填写申报时，如需调用相关电子证照，系统应从电子证照库中进行调用。</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（4）材料补正</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材料补正功能。开药店“一件事”办理如需材料补正，市受理系统通过“补正通知书接口”上传补正通知书pdf文件到省级综合服务系统。省级综合服务系统接收到后，企业端状态为待补正材料，企业可以登录系统进行补正操作。补正提交后，再次通过“企业申报材料获取接口”获取企业申报补正材料到市受理系统。市受理系统还可以通过“补正通知书接口”上传受理通知书/不予受理通知书pdf文件到省级综合服务系统，对基本条件具备、主要申报材料齐全且符合法定条件，但次要条件或手续有欠缺的行政审批事项，相关职能部门先予受理和审查，并一次性告知需补正的材料、时限和超期处理方法，在材料补齐后需及时出具审批意见，颁发相关批文和证照。</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（5）物流快递</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需对接物流配套管理系统，结合线上与线下的工作模式，由窗口通过邮政EMS邮寄送达，实现审批结果递送的功能。</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（6）消息提醒</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应支持对各部门业务系统的相关审批过程信息进行消息提醒。点击消息应可以查看对应办件的详细情况，方便工作人员及时了解办件审批情况。</w:t>
      </w:r>
    </w:p>
    <w:p>
      <w:pPr>
        <w:ind w:firstLine="560" w:firstLineChars="200"/>
        <w:rPr>
          <w:rFonts w:hint="eastAsia" w:ascii="方正仿宋_GBK" w:hAnsi="方正仿宋_GBK" w:eastAsia="方正仿宋_GBK" w:cs="方正仿宋_GBK"/>
          <w:sz w:val="28"/>
          <w:szCs w:val="28"/>
          <w:lang w:val="zh-CN"/>
        </w:rPr>
      </w:pPr>
      <w:bookmarkStart w:id="18" w:name="_Toc2958"/>
      <w:r>
        <w:rPr>
          <w:rFonts w:hint="eastAsia" w:ascii="方正仿宋_GBK" w:hAnsi="方正仿宋_GBK" w:eastAsia="方正仿宋_GBK" w:cs="方正仿宋_GBK"/>
          <w:sz w:val="28"/>
          <w:szCs w:val="28"/>
          <w:lang w:val="zh-CN"/>
        </w:rPr>
        <w:t>4、办件结果上报</w:t>
      </w:r>
      <w:bookmarkEnd w:id="18"/>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应提供办件结果上报功能，当事项办理完成后，对应的办件结果将通过系统接口上报至省级综合服务系统。</w:t>
      </w:r>
    </w:p>
    <w:p>
      <w:pPr>
        <w:ind w:firstLine="560" w:firstLineChars="200"/>
        <w:rPr>
          <w:rFonts w:hint="eastAsia" w:ascii="方正仿宋_GBK" w:hAnsi="方正仿宋_GBK" w:eastAsia="方正仿宋_GBK" w:cs="方正仿宋_GBK"/>
          <w:sz w:val="28"/>
          <w:szCs w:val="28"/>
          <w:lang w:val="zh-CN"/>
        </w:rPr>
      </w:pPr>
      <w:bookmarkStart w:id="19" w:name="_Toc32371"/>
      <w:r>
        <w:rPr>
          <w:rFonts w:hint="eastAsia" w:ascii="方正仿宋_GBK" w:hAnsi="方正仿宋_GBK" w:eastAsia="方正仿宋_GBK" w:cs="方正仿宋_GBK"/>
          <w:sz w:val="28"/>
          <w:szCs w:val="28"/>
          <w:lang w:val="zh-CN"/>
        </w:rPr>
        <w:t>5、统计分析</w:t>
      </w:r>
      <w:bookmarkEnd w:id="19"/>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应提供开药店“一件事”的统计分析功能，查看南通市办理开药店“一件事”数量，同时支持电子表格文件导出功能。</w:t>
      </w:r>
    </w:p>
    <w:p>
      <w:pPr>
        <w:ind w:firstLine="560" w:firstLineChars="200"/>
        <w:rPr>
          <w:rFonts w:hint="eastAsia" w:ascii="方正仿宋_GBK" w:hAnsi="方正仿宋_GBK" w:eastAsia="方正仿宋_GBK" w:cs="方正仿宋_GBK"/>
          <w:sz w:val="28"/>
          <w:szCs w:val="28"/>
          <w:lang w:val="zh-CN"/>
        </w:rPr>
      </w:pPr>
      <w:bookmarkStart w:id="20" w:name="_Toc31687"/>
      <w:r>
        <w:rPr>
          <w:rFonts w:hint="eastAsia" w:ascii="方正仿宋_GBK" w:hAnsi="方正仿宋_GBK" w:eastAsia="方正仿宋_GBK" w:cs="方正仿宋_GBK"/>
          <w:sz w:val="28"/>
          <w:szCs w:val="28"/>
          <w:lang w:val="zh-CN"/>
        </w:rPr>
        <w:t>6、申报信息查看</w:t>
      </w:r>
      <w:bookmarkEnd w:id="20"/>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应将用户在线上申报的开药店“一件事”办件信息同步至本地数据库，供相关工作人员进行详情查看办事人员办件信息，如可查看办理事项名称、事项基本信息、申报材料信息。</w:t>
      </w:r>
    </w:p>
    <w:p>
      <w:pPr>
        <w:ind w:firstLine="560" w:firstLineChars="200"/>
        <w:rPr>
          <w:rFonts w:hint="eastAsia" w:ascii="方正仿宋_GBK" w:hAnsi="方正仿宋_GBK" w:eastAsia="方正仿宋_GBK" w:cs="方正仿宋_GBK"/>
          <w:sz w:val="28"/>
          <w:szCs w:val="28"/>
          <w:lang w:val="zh-CN"/>
        </w:rPr>
      </w:pPr>
      <w:bookmarkStart w:id="21" w:name="_Toc15919"/>
      <w:r>
        <w:rPr>
          <w:rFonts w:hint="eastAsia" w:ascii="方正仿宋_GBK" w:hAnsi="方正仿宋_GBK" w:eastAsia="方正仿宋_GBK" w:cs="方正仿宋_GBK"/>
          <w:sz w:val="28"/>
          <w:szCs w:val="28"/>
          <w:lang w:val="zh-CN"/>
        </w:rPr>
        <w:t>7、运行监察</w:t>
      </w:r>
      <w:bookmarkEnd w:id="21"/>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应提供运行监察功能。通过运行监察的建设，实现对开药店“一件事”的业务办理进行运行监察，能够在系统上直观的展示业务办理的所有信息。</w:t>
      </w:r>
    </w:p>
    <w:p>
      <w:pPr>
        <w:keepNext/>
        <w:keepLines/>
        <w:outlineLvl w:val="1"/>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3.3、系统对接与整合</w:t>
      </w:r>
    </w:p>
    <w:p>
      <w:pPr>
        <w:keepNext/>
        <w:keepLines/>
        <w:outlineLvl w:val="2"/>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3.3.1、与市县一体化在线政务服务平台对接</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需与市县一体化在线政务服务平台无缝对接，实现“一件事”综合受理。</w:t>
      </w:r>
    </w:p>
    <w:p>
      <w:pPr>
        <w:keepNext/>
        <w:keepLines/>
        <w:outlineLvl w:val="2"/>
        <w:rPr>
          <w:rFonts w:hint="eastAsia" w:ascii="方正仿宋_GBK" w:hAnsi="方正仿宋_GBK" w:eastAsia="方正仿宋_GBK" w:cs="方正仿宋_GBK"/>
          <w:bCs w:val="0"/>
          <w:kern w:val="2"/>
          <w:sz w:val="28"/>
          <w:szCs w:val="28"/>
          <w:lang w:val="en-US" w:eastAsia="zh-CN" w:bidi="ar-SA"/>
        </w:rPr>
      </w:pPr>
      <w:r>
        <w:rPr>
          <w:rFonts w:hint="eastAsia" w:ascii="方正仿宋_GBK" w:hAnsi="方正仿宋_GBK" w:eastAsia="方正仿宋_GBK" w:cs="方正仿宋_GBK"/>
          <w:bCs w:val="0"/>
          <w:kern w:val="2"/>
          <w:sz w:val="28"/>
          <w:szCs w:val="28"/>
          <w:lang w:val="en-US" w:eastAsia="zh-CN" w:bidi="ar-SA"/>
        </w:rPr>
        <w:t>3.3.2、与省级综合服务系统对接</w:t>
      </w:r>
    </w:p>
    <w:p>
      <w:pPr>
        <w:ind w:firstLine="560" w:firstLineChars="200"/>
        <w:rPr>
          <w:rFonts w:hint="eastAsia" w:ascii="方正仿宋_GBK" w:hAnsi="方正仿宋_GBK" w:eastAsia="方正仿宋_GBK" w:cs="方正仿宋_GBK"/>
          <w:sz w:val="28"/>
          <w:szCs w:val="28"/>
          <w:lang w:val="zh-CN"/>
        </w:rPr>
      </w:pPr>
      <w:bookmarkStart w:id="22" w:name="_Toc30928"/>
      <w:bookmarkStart w:id="23" w:name="_Toc21983"/>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val="zh-CN"/>
        </w:rPr>
        <w:t>出生一件事“一表”接口</w:t>
      </w:r>
      <w:bookmarkEnd w:id="22"/>
      <w:r>
        <w:rPr>
          <w:rFonts w:hint="eastAsia" w:ascii="方正仿宋_GBK" w:hAnsi="方正仿宋_GBK" w:eastAsia="方正仿宋_GBK" w:cs="方正仿宋_GBK"/>
          <w:sz w:val="28"/>
          <w:szCs w:val="28"/>
          <w:lang w:val="zh-CN"/>
        </w:rPr>
        <w:t>对接</w:t>
      </w:r>
      <w:bookmarkEnd w:id="23"/>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需与出生一件事“一表”接口对接，实现南通市“一表”清单内容的上报，并基于一表的内容实现相关元数据项的入库工作，为后续各部门办理提供表单内容支持。</w:t>
      </w:r>
    </w:p>
    <w:p>
      <w:pPr>
        <w:ind w:firstLine="560" w:firstLineChars="200"/>
        <w:rPr>
          <w:rFonts w:hint="eastAsia" w:ascii="方正仿宋_GBK" w:hAnsi="方正仿宋_GBK" w:eastAsia="方正仿宋_GBK" w:cs="方正仿宋_GBK"/>
          <w:sz w:val="28"/>
          <w:szCs w:val="28"/>
          <w:lang w:val="zh-CN"/>
        </w:rPr>
      </w:pPr>
      <w:bookmarkStart w:id="24" w:name="_Toc720"/>
      <w:bookmarkStart w:id="25" w:name="_Toc17227"/>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val="zh-CN"/>
        </w:rPr>
        <w:t>出生一件事“一单”接口</w:t>
      </w:r>
      <w:bookmarkEnd w:id="24"/>
      <w:r>
        <w:rPr>
          <w:rFonts w:hint="eastAsia" w:ascii="方正仿宋_GBK" w:hAnsi="方正仿宋_GBK" w:eastAsia="方正仿宋_GBK" w:cs="方正仿宋_GBK"/>
          <w:sz w:val="28"/>
          <w:szCs w:val="28"/>
          <w:lang w:val="zh-CN"/>
        </w:rPr>
        <w:t>对接</w:t>
      </w:r>
      <w:bookmarkEnd w:id="25"/>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需与出生一件事“一单”接口的对接，实现南通市“一单”清单内容的上报，并基于一单内容可入库相关材料项，为后续各部门办理提供材料清单内容支持。</w:t>
      </w:r>
    </w:p>
    <w:p>
      <w:pPr>
        <w:ind w:firstLine="560" w:firstLineChars="200"/>
        <w:rPr>
          <w:rFonts w:hint="eastAsia" w:ascii="方正仿宋_GBK" w:hAnsi="方正仿宋_GBK" w:eastAsia="方正仿宋_GBK" w:cs="方正仿宋_GBK"/>
          <w:sz w:val="28"/>
          <w:szCs w:val="28"/>
          <w:lang w:val="zh-CN"/>
        </w:rPr>
      </w:pPr>
      <w:bookmarkStart w:id="26" w:name="_Toc29434"/>
      <w:bookmarkStart w:id="27" w:name="_Toc3711"/>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val="zh-CN"/>
        </w:rPr>
        <w:t>出生一件事事项接口</w:t>
      </w:r>
      <w:bookmarkEnd w:id="26"/>
      <w:r>
        <w:rPr>
          <w:rFonts w:hint="eastAsia" w:ascii="方正仿宋_GBK" w:hAnsi="方正仿宋_GBK" w:eastAsia="方正仿宋_GBK" w:cs="方正仿宋_GBK"/>
          <w:sz w:val="28"/>
          <w:szCs w:val="28"/>
          <w:lang w:val="zh-CN"/>
        </w:rPr>
        <w:t>对接</w:t>
      </w:r>
      <w:bookmarkEnd w:id="27"/>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需与出生一件事事项接口对接，实现南通市新生儿出生“一件事”所含事项清单内容的上报，并可以由省系统基于所含事项内容情况，拆分表单、材料清单，安排相关适配的推送流程。</w:t>
      </w:r>
    </w:p>
    <w:p>
      <w:pPr>
        <w:ind w:firstLine="560" w:firstLineChars="200"/>
        <w:rPr>
          <w:rFonts w:hint="eastAsia" w:ascii="方正仿宋_GBK" w:hAnsi="方正仿宋_GBK" w:eastAsia="方正仿宋_GBK" w:cs="方正仿宋_GBK"/>
          <w:sz w:val="28"/>
          <w:szCs w:val="28"/>
          <w:lang w:val="zh-CN"/>
        </w:rPr>
      </w:pPr>
      <w:bookmarkStart w:id="28" w:name="_Toc31847"/>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val="zh-CN"/>
        </w:rPr>
        <w:t>结果信息接口对接</w:t>
      </w:r>
      <w:bookmarkEnd w:id="28"/>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需与省平台标准结果信息接口对接，实现南通市平台获取省平台的相关结果信息。</w:t>
      </w:r>
    </w:p>
    <w:p>
      <w:pPr>
        <w:ind w:firstLine="560" w:firstLineChars="200"/>
        <w:rPr>
          <w:rFonts w:hint="eastAsia" w:ascii="方正仿宋_GBK" w:hAnsi="方正仿宋_GBK" w:eastAsia="方正仿宋_GBK" w:cs="方正仿宋_GBK"/>
          <w:sz w:val="28"/>
          <w:szCs w:val="28"/>
          <w:lang w:val="zh-CN"/>
        </w:rPr>
      </w:pPr>
      <w:bookmarkStart w:id="29" w:name="_Toc26198"/>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lang w:val="zh-CN"/>
        </w:rPr>
        <w:t>异常信息接口对接</w:t>
      </w:r>
      <w:bookmarkEnd w:id="29"/>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需与省平台标准异常信息接口对接，实现南通市平台获取省平台推送的相关异常信息内容。</w:t>
      </w:r>
    </w:p>
    <w:p>
      <w:pPr>
        <w:ind w:firstLine="560" w:firstLineChars="200"/>
        <w:rPr>
          <w:rFonts w:hint="eastAsia" w:ascii="方正仿宋_GBK" w:hAnsi="方正仿宋_GBK" w:eastAsia="方正仿宋_GBK" w:cs="方正仿宋_GBK"/>
          <w:sz w:val="28"/>
          <w:szCs w:val="28"/>
          <w:lang w:val="zh-CN"/>
        </w:rPr>
      </w:pPr>
      <w:bookmarkStart w:id="30" w:name="_Toc8941"/>
      <w:r>
        <w:rPr>
          <w:rFonts w:hint="eastAsia" w:ascii="方正仿宋_GBK" w:hAnsi="方正仿宋_GBK" w:eastAsia="方正仿宋_GBK" w:cs="方正仿宋_GBK"/>
          <w:sz w:val="28"/>
          <w:szCs w:val="28"/>
          <w:lang w:val="en-US" w:eastAsia="zh-CN"/>
        </w:rPr>
        <w:t>6、开药店</w:t>
      </w:r>
      <w:r>
        <w:rPr>
          <w:rFonts w:hint="eastAsia" w:ascii="方正仿宋_GBK" w:hAnsi="方正仿宋_GBK" w:eastAsia="方正仿宋_GBK" w:cs="方正仿宋_GBK"/>
          <w:sz w:val="28"/>
          <w:szCs w:val="28"/>
          <w:lang w:val="zh-CN"/>
        </w:rPr>
        <w:t>“一件事”办结结果汇总接口对接</w:t>
      </w:r>
      <w:bookmarkEnd w:id="30"/>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需与省开药店“一件事”办件结果汇总接口对接，获取药品经营许可事项办件结果信息、第二类医疗器械经营备案 事项办件结果信息、第三类医疗器械经营许可事项办件结果信息、仅销售预包装食品经营者备案办件结果信息、店招标牌备案事项办件结果信息和公众聚集场所投入使用、营业前消防安全检查事项办件结果信息至地市平台，完成业务受理流程。</w:t>
      </w:r>
    </w:p>
    <w:p>
      <w:pPr>
        <w:ind w:firstLine="560" w:firstLineChars="200"/>
        <w:rPr>
          <w:rFonts w:hint="eastAsia" w:ascii="方正仿宋_GBK" w:hAnsi="方正仿宋_GBK" w:eastAsia="方正仿宋_GBK" w:cs="方正仿宋_GBK"/>
          <w:sz w:val="28"/>
          <w:szCs w:val="28"/>
          <w:lang w:val="zh-CN"/>
        </w:rPr>
      </w:pPr>
      <w:bookmarkStart w:id="31" w:name="_Toc27071"/>
      <w:r>
        <w:rPr>
          <w:rFonts w:hint="eastAsia" w:ascii="方正仿宋_GBK" w:hAnsi="方正仿宋_GBK" w:eastAsia="方正仿宋_GBK" w:cs="方正仿宋_GBK"/>
          <w:sz w:val="28"/>
          <w:szCs w:val="28"/>
          <w:lang w:val="en-US" w:eastAsia="zh-CN"/>
        </w:rPr>
        <w:t>7、开药店</w:t>
      </w:r>
      <w:r>
        <w:rPr>
          <w:rFonts w:hint="eastAsia" w:ascii="方正仿宋_GBK" w:hAnsi="方正仿宋_GBK" w:eastAsia="方正仿宋_GBK" w:cs="方正仿宋_GBK"/>
          <w:sz w:val="28"/>
          <w:szCs w:val="28"/>
          <w:lang w:val="zh-CN"/>
        </w:rPr>
        <w:t>“一件事”补正通知书接口对接</w:t>
      </w:r>
      <w:bookmarkEnd w:id="31"/>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（1）补正通知书推送</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市开药店“一件事”受理系统应依靠江苏省政务服务网提供的网络通道，推送《补正通知书》到省级综合服务系统。多事项补正通知书应提供一次性推送功能，同时也支持单事项补正通知书推送。</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（2）补正通知书修改状态标识</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应支持市开药店“一件事”受理系统可获取全量办件数据，也可仅获取修改状态标识的数据内容。</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（3）补正材料处理</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针对在某一事项的补正是在其他事项审批过程中提出来的涉及公共部分内容的补正， 以及在审批过程中提出的补正需求，此类补正需求都应由市开药店“一件事”受理系统进行线下处理，省级综合服务系统仅提供修改状态标识的数据内容下载。</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（4）受理信息推送</w:t>
      </w:r>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市开药店“一件事”受理系统应依靠江苏省政务服务网提供的网络通道，向企业推送《受理通知书》、《不予受理通知书》，供企业进行受理线信息查看。</w:t>
      </w:r>
    </w:p>
    <w:p>
      <w:pPr>
        <w:ind w:firstLine="560" w:firstLineChars="200"/>
        <w:rPr>
          <w:rFonts w:hint="eastAsia" w:ascii="方正仿宋_GBK" w:hAnsi="方正仿宋_GBK" w:eastAsia="方正仿宋_GBK" w:cs="方正仿宋_GBK"/>
          <w:sz w:val="28"/>
          <w:szCs w:val="28"/>
          <w:lang w:val="zh-CN"/>
        </w:rPr>
      </w:pPr>
      <w:bookmarkStart w:id="32" w:name="_Toc3160"/>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lang w:val="zh-CN"/>
        </w:rPr>
        <w:t>企业申报材料反馈接口对接</w:t>
      </w:r>
      <w:bookmarkEnd w:id="32"/>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企业申报材料反馈接口对接，向省级综合服务系统反馈开药店“一件事”事项办理所涉及的综合申请表（企业基本情况）、药品零售企业开办申请信息、第三类医疗器械经营许可核发申请信息、第二类医疗器械经营备案申请信息、第二类医疗器械经营备案和第三类医疗器械经营许可如需经营体外诊断试剂和需验配特殊要求的须提供符合相关岗位的专业技术人员基本情况、仅销售预包装食品经营者备案信息采集、店招标牌备案信息、公众聚集场所投入使用和营业前消防安全检查、消防安全告知承诺书基本信息登记表、消防安全检查申报表、证件领取方式、事项附件数据集（通用材料、药品零售企业开办材料、第三类医疗器械经营许可核发材料、第二类医疗器械经营备案材料、仅销售预包装食品经营者备案材料、店招标牌备案材料、公众聚集场所材料）此类办件材料信息。</w:t>
      </w:r>
    </w:p>
    <w:p>
      <w:pPr>
        <w:ind w:firstLine="560" w:firstLineChars="200"/>
        <w:rPr>
          <w:rFonts w:hint="eastAsia" w:ascii="方正仿宋_GBK" w:hAnsi="方正仿宋_GBK" w:eastAsia="方正仿宋_GBK" w:cs="方正仿宋_GBK"/>
          <w:sz w:val="28"/>
          <w:szCs w:val="28"/>
          <w:lang w:val="zh-CN"/>
        </w:rPr>
      </w:pPr>
      <w:bookmarkStart w:id="33" w:name="_Toc8470"/>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lang w:val="zh-CN"/>
        </w:rPr>
        <w:t>企业申报材料获取接口对接</w:t>
      </w:r>
      <w:bookmarkEnd w:id="33"/>
    </w:p>
    <w:p>
      <w:pPr>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需与企业申报材料获取接口对接，获取企业事项反馈的事项办理所涉及的综合申请表（企业基本情况）、药品零售企业开办申请信息、第三类医疗器械经营许可核发申请信息、第二类医疗器械经营备案申请信息、第二类医疗器械经营备案和第三类医疗器械经营许可如需经营体外诊断试剂和需验配特殊要求的须提供符合相关岗位的专业技术人员基本情况、仅销售预 包装食品经营者备案信息采集、店招标牌备案信息、公众聚集场所投入使用和营业前消防安全检查、消防安全告知承诺书基本信息登记表、消防安全检查申报表、证件领取方式、事项附件数据集（通用材料、药品零售企业开办材料、第三类医疗器械经营许可核发材料、第二类医疗器械经营备案材料、仅销售预包装食品经营者备案材料、店招标牌备案材料、公众聚集场所材料）此类办件材料信息。</w:t>
      </w:r>
    </w:p>
    <w:p>
      <w:pPr>
        <w:pStyle w:val="20"/>
        <w:keepNext w:val="0"/>
        <w:keepLines w:val="0"/>
        <w:pageBreakBefore w:val="0"/>
        <w:tabs>
          <w:tab w:val="left" w:pos="5325"/>
        </w:tabs>
        <w:wordWrap/>
        <w:overflowPunct/>
        <w:bidi w:val="0"/>
        <w:snapToGrid w:val="0"/>
        <w:spacing w:line="240" w:lineRule="auto"/>
        <w:ind w:left="0" w:leftChars="0"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四</w:t>
      </w:r>
      <w:r>
        <w:rPr>
          <w:rFonts w:hint="eastAsia" w:ascii="黑体" w:hAnsi="黑体" w:eastAsia="黑体" w:cs="Times New Roman"/>
          <w:sz w:val="32"/>
          <w:szCs w:val="32"/>
        </w:rPr>
        <w:t>、</w:t>
      </w:r>
      <w:r>
        <w:rPr>
          <w:rFonts w:ascii="黑体" w:hAnsi="黑体" w:eastAsia="黑体" w:cs="Times New Roman"/>
          <w:sz w:val="32"/>
          <w:szCs w:val="32"/>
        </w:rPr>
        <w:t>合同签订</w:t>
      </w:r>
    </w:p>
    <w:p>
      <w:pPr>
        <w:keepNext w:val="0"/>
        <w:keepLines w:val="0"/>
        <w:pageBreakBefore w:val="0"/>
        <w:wordWrap/>
        <w:overflowPunct/>
        <w:bidi w:val="0"/>
        <w:spacing w:line="240" w:lineRule="auto"/>
        <w:ind w:firstLine="560" w:firstLineChars="200"/>
        <w:rPr>
          <w:rFonts w:ascii="Times New Roman" w:hAnsi="Times New Roman" w:eastAsia="方正仿宋_GBK" w:cs="Times New Roman"/>
          <w:sz w:val="28"/>
          <w:szCs w:val="28"/>
          <w:lang w:val="zh-CN"/>
        </w:rPr>
      </w:pPr>
      <w:r>
        <w:rPr>
          <w:rFonts w:ascii="Times New Roman" w:hAnsi="Times New Roman" w:eastAsia="方正仿宋_GBK" w:cs="Times New Roman"/>
          <w:sz w:val="28"/>
          <w:szCs w:val="28"/>
          <w:lang w:val="zh-CN"/>
        </w:rPr>
        <w:t>采购结果</w:t>
      </w:r>
      <w:r>
        <w:rPr>
          <w:rFonts w:hint="eastAsia" w:ascii="Times New Roman" w:hAnsi="Times New Roman" w:eastAsia="方正仿宋_GBK" w:cs="Times New Roman"/>
          <w:sz w:val="28"/>
          <w:szCs w:val="28"/>
          <w:lang w:val="zh-CN"/>
        </w:rPr>
        <w:t>公示结束后无异议的由南通市行政审批局在</w:t>
      </w:r>
      <w:r>
        <w:rPr>
          <w:rFonts w:ascii="Times New Roman" w:hAnsi="Times New Roman" w:eastAsia="方正仿宋_GBK" w:cs="Times New Roman"/>
          <w:sz w:val="28"/>
          <w:szCs w:val="28"/>
        </w:rPr>
        <w:t>10</w:t>
      </w:r>
      <w:r>
        <w:rPr>
          <w:rFonts w:ascii="Times New Roman" w:hAnsi="Times New Roman" w:eastAsia="方正仿宋_GBK" w:cs="Times New Roman"/>
          <w:sz w:val="28"/>
          <w:szCs w:val="28"/>
          <w:lang w:val="zh-CN"/>
        </w:rPr>
        <w:t>个工作日内签订合同。</w:t>
      </w:r>
    </w:p>
    <w:p>
      <w:pPr>
        <w:pStyle w:val="20"/>
        <w:keepNext w:val="0"/>
        <w:keepLines w:val="0"/>
        <w:pageBreakBefore w:val="0"/>
        <w:tabs>
          <w:tab w:val="left" w:pos="5325"/>
        </w:tabs>
        <w:wordWrap/>
        <w:overflowPunct/>
        <w:bidi w:val="0"/>
        <w:snapToGrid w:val="0"/>
        <w:spacing w:line="240" w:lineRule="auto"/>
        <w:ind w:left="0" w:leftChars="0" w:firstLine="0" w:firstLineChars="0"/>
        <w:contextualSpacing/>
        <w:rPr>
          <w:rFonts w:ascii="黑体" w:hAnsi="黑体" w:eastAsia="黑体" w:cs="Times New Roman"/>
          <w:sz w:val="32"/>
          <w:szCs w:val="32"/>
        </w:rPr>
      </w:pPr>
      <w:r>
        <w:rPr>
          <w:rFonts w:hint="eastAsia" w:ascii="黑体" w:hAnsi="黑体" w:eastAsia="黑体" w:cs="Times New Roman"/>
          <w:sz w:val="32"/>
          <w:szCs w:val="32"/>
          <w:lang w:val="en-US" w:eastAsia="zh-CN"/>
        </w:rPr>
        <w:t>五</w:t>
      </w:r>
      <w:r>
        <w:rPr>
          <w:rFonts w:hint="eastAsia" w:ascii="黑体" w:hAnsi="黑体" w:eastAsia="黑体" w:cs="Times New Roman"/>
          <w:sz w:val="32"/>
          <w:szCs w:val="32"/>
        </w:rPr>
        <w:t>、</w:t>
      </w:r>
      <w:r>
        <w:rPr>
          <w:rFonts w:ascii="黑体" w:hAnsi="黑体" w:eastAsia="黑体" w:cs="Times New Roman"/>
          <w:sz w:val="32"/>
          <w:szCs w:val="32"/>
        </w:rPr>
        <w:t>付款</w:t>
      </w:r>
      <w:r>
        <w:rPr>
          <w:rFonts w:hint="eastAsia" w:ascii="黑体" w:hAnsi="黑体" w:eastAsia="黑体" w:cs="Times New Roman"/>
          <w:sz w:val="32"/>
          <w:szCs w:val="32"/>
        </w:rPr>
        <w:t>方式</w:t>
      </w:r>
    </w:p>
    <w:p>
      <w:pPr>
        <w:keepNext w:val="0"/>
        <w:keepLines w:val="0"/>
        <w:pageBreakBefore w:val="0"/>
        <w:wordWrap/>
        <w:overflowPunct/>
        <w:bidi w:val="0"/>
        <w:spacing w:line="240" w:lineRule="auto"/>
        <w:ind w:firstLine="560" w:firstLineChars="200"/>
        <w:rPr>
          <w:rFonts w:hint="default"/>
          <w:lang w:val="en-US" w:eastAsia="zh-CN"/>
        </w:rPr>
      </w:pPr>
      <w:r>
        <w:rPr>
          <w:rFonts w:hint="eastAsia" w:ascii="Times New Roman" w:hAnsi="Times New Roman" w:eastAsia="方正仿宋_GBK" w:cs="Times New Roman"/>
          <w:sz w:val="28"/>
          <w:szCs w:val="28"/>
          <w:lang w:val="zh-CN"/>
        </w:rPr>
        <w:t>合同签订发票送达后1</w:t>
      </w:r>
      <w:r>
        <w:rPr>
          <w:rFonts w:hint="eastAsia" w:ascii="Times New Roman" w:hAnsi="Times New Roman" w:eastAsia="方正仿宋_GBK" w:cs="Times New Roman"/>
          <w:sz w:val="28"/>
          <w:szCs w:val="28"/>
          <w:lang w:val="en-US" w:eastAsia="zh-CN"/>
        </w:rPr>
        <w:t>0</w:t>
      </w:r>
      <w:r>
        <w:rPr>
          <w:rFonts w:hint="eastAsia" w:ascii="Times New Roman" w:hAnsi="Times New Roman" w:eastAsia="方正仿宋_GBK" w:cs="Times New Roman"/>
          <w:sz w:val="28"/>
          <w:szCs w:val="28"/>
          <w:lang w:val="zh-CN"/>
        </w:rPr>
        <w:t>个工作日内支付合同价款的50%，</w:t>
      </w:r>
      <w:r>
        <w:rPr>
          <w:rFonts w:hint="eastAsia" w:ascii="Times New Roman" w:hAnsi="Times New Roman" w:eastAsia="方正仿宋_GBK" w:cs="Times New Roman"/>
          <w:sz w:val="28"/>
          <w:szCs w:val="28"/>
          <w:lang w:val="en-US" w:eastAsia="zh-CN"/>
        </w:rPr>
        <w:t>项目验收通过后支付</w:t>
      </w:r>
      <w:r>
        <w:rPr>
          <w:rFonts w:hint="eastAsia" w:ascii="Times New Roman" w:hAnsi="Times New Roman" w:eastAsia="方正仿宋_GBK" w:cs="Times New Roman"/>
          <w:sz w:val="28"/>
          <w:szCs w:val="28"/>
          <w:lang w:val="zh-CN"/>
        </w:rPr>
        <w:t>合同价款的4</w:t>
      </w:r>
      <w:r>
        <w:rPr>
          <w:rFonts w:hint="eastAsia" w:ascii="Times New Roman" w:hAnsi="Times New Roman" w:eastAsia="方正仿宋_GBK" w:cs="Times New Roman"/>
          <w:sz w:val="28"/>
          <w:szCs w:val="28"/>
          <w:lang w:val="en-US" w:eastAsia="zh-CN"/>
        </w:rPr>
        <w:t>5</w:t>
      </w:r>
      <w:r>
        <w:rPr>
          <w:rFonts w:hint="eastAsia" w:ascii="Times New Roman" w:hAnsi="Times New Roman" w:eastAsia="方正仿宋_GBK" w:cs="Times New Roman"/>
          <w:sz w:val="28"/>
          <w:szCs w:val="28"/>
          <w:lang w:val="zh-CN"/>
        </w:rPr>
        <w:t>%，余款</w:t>
      </w:r>
      <w:r>
        <w:rPr>
          <w:rFonts w:hint="eastAsia" w:ascii="Times New Roman" w:hAnsi="Times New Roman" w:eastAsia="方正仿宋_GBK" w:cs="Times New Roman"/>
          <w:sz w:val="28"/>
          <w:szCs w:val="28"/>
          <w:lang w:val="en-US" w:eastAsia="zh-CN"/>
        </w:rPr>
        <w:t>5</w:t>
      </w:r>
      <w:r>
        <w:rPr>
          <w:rFonts w:hint="eastAsia" w:ascii="Times New Roman" w:hAnsi="Times New Roman" w:eastAsia="方正仿宋_GBK" w:cs="Times New Roman"/>
          <w:sz w:val="28"/>
          <w:szCs w:val="28"/>
          <w:lang w:val="zh-CN"/>
        </w:rPr>
        <w:t>%作为质保金，</w:t>
      </w:r>
      <w:r>
        <w:rPr>
          <w:rFonts w:hint="eastAsia" w:ascii="Times New Roman" w:hAnsi="Times New Roman" w:eastAsia="方正仿宋_GBK" w:cs="Times New Roman"/>
          <w:sz w:val="28"/>
          <w:szCs w:val="28"/>
          <w:lang w:val="en-US" w:eastAsia="zh-CN"/>
        </w:rPr>
        <w:t>于项目运维期满后</w:t>
      </w:r>
      <w:r>
        <w:rPr>
          <w:rFonts w:hint="eastAsia" w:ascii="Times New Roman" w:hAnsi="Times New Roman" w:eastAsia="方正仿宋_GBK" w:cs="Times New Roman"/>
          <w:sz w:val="28"/>
          <w:szCs w:val="28"/>
          <w:lang w:val="zh-CN"/>
        </w:rPr>
        <w:t>按照《信息化项目质保经费支付管理规定》（通行审发﹝2018﹞40号）文件支付。</w:t>
      </w:r>
    </w:p>
    <w:bookmarkEnd w:id="0"/>
    <w:bookmarkEnd w:id="1"/>
    <w:bookmarkEnd w:id="2"/>
    <w:p>
      <w:pPr>
        <w:keepNext w:val="0"/>
        <w:keepLines w:val="0"/>
        <w:pageBreakBefore w:val="0"/>
        <w:tabs>
          <w:tab w:val="left" w:pos="5325"/>
        </w:tabs>
        <w:wordWrap/>
        <w:overflowPunct/>
        <w:bidi w:val="0"/>
        <w:snapToGrid w:val="0"/>
        <w:spacing w:line="240" w:lineRule="auto"/>
        <w:contextualSpacing/>
        <w:rPr>
          <w:rFonts w:ascii="黑体" w:hAnsi="黑体" w:eastAsia="黑体" w:cs="Times New Roman"/>
          <w:sz w:val="32"/>
          <w:szCs w:val="32"/>
        </w:rPr>
      </w:pPr>
      <w:bookmarkStart w:id="34" w:name="_Toc344724549"/>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w:t>
      </w:r>
      <w:r>
        <w:rPr>
          <w:rFonts w:ascii="黑体" w:hAnsi="黑体" w:eastAsia="黑体" w:cs="Times New Roman"/>
          <w:sz w:val="32"/>
          <w:szCs w:val="32"/>
        </w:rPr>
        <w:t>投标供应商资格要求</w:t>
      </w:r>
    </w:p>
    <w:p>
      <w:pPr>
        <w:pStyle w:val="20"/>
        <w:keepNext w:val="0"/>
        <w:keepLines w:val="0"/>
        <w:pageBreakBefore w:val="0"/>
        <w:wordWrap/>
        <w:overflowPunct/>
        <w:autoSpaceDE w:val="0"/>
        <w:autoSpaceDN w:val="0"/>
        <w:bidi w:val="0"/>
        <w:adjustRightInd w:val="0"/>
        <w:snapToGrid w:val="0"/>
        <w:spacing w:line="240" w:lineRule="auto"/>
        <w:ind w:firstLine="640"/>
        <w:contextualSpacing/>
        <w:jc w:val="left"/>
        <w:rPr>
          <w:rFonts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1、</w:t>
      </w:r>
      <w:r>
        <w:rPr>
          <w:rFonts w:hint="eastAsia" w:ascii="Times New Roman" w:hAnsi="Times New Roman" w:eastAsia="方正仿宋_GBK" w:cs="Times New Roman"/>
          <w:sz w:val="28"/>
          <w:szCs w:val="28"/>
          <w:lang w:val="zh-CN"/>
        </w:rPr>
        <w:t>符合《中华人民共和国政府采购法》第22条规定；</w:t>
      </w:r>
    </w:p>
    <w:p>
      <w:pPr>
        <w:pStyle w:val="20"/>
        <w:keepNext w:val="0"/>
        <w:keepLines w:val="0"/>
        <w:pageBreakBefore w:val="0"/>
        <w:wordWrap/>
        <w:overflowPunct/>
        <w:autoSpaceDE w:val="0"/>
        <w:autoSpaceDN w:val="0"/>
        <w:bidi w:val="0"/>
        <w:adjustRightInd w:val="0"/>
        <w:snapToGrid w:val="0"/>
        <w:spacing w:line="240" w:lineRule="auto"/>
        <w:ind w:right="-197" w:rightChars="-94" w:firstLine="640"/>
        <w:contextualSpacing/>
        <w:jc w:val="left"/>
        <w:rPr>
          <w:rFonts w:hint="eastAsia"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rPr>
        <w:t>2、</w:t>
      </w:r>
      <w:r>
        <w:rPr>
          <w:rFonts w:hint="eastAsia" w:ascii="Times New Roman" w:hAnsi="Times New Roman" w:eastAsia="方正仿宋_GBK" w:cs="Times New Roman"/>
          <w:sz w:val="28"/>
          <w:szCs w:val="28"/>
          <w:lang w:val="zh-CN"/>
        </w:rPr>
        <w:t>具有合法经营资格并能承担完全民事责任的独立法人。</w:t>
      </w:r>
    </w:p>
    <w:p>
      <w:pPr>
        <w:pStyle w:val="20"/>
        <w:keepNext w:val="0"/>
        <w:keepLines w:val="0"/>
        <w:pageBreakBefore w:val="0"/>
        <w:wordWrap/>
        <w:overflowPunct/>
        <w:autoSpaceDE w:val="0"/>
        <w:autoSpaceDN w:val="0"/>
        <w:bidi w:val="0"/>
        <w:adjustRightInd w:val="0"/>
        <w:snapToGrid w:val="0"/>
        <w:spacing w:line="240" w:lineRule="auto"/>
        <w:ind w:firstLine="640"/>
        <w:contextualSpacing/>
        <w:jc w:val="left"/>
        <w:rPr>
          <w:rFonts w:hint="eastAsia" w:ascii="Times New Roman" w:hAnsi="Times New Roman" w:eastAsia="方正仿宋_GBK" w:cs="Times New Roman"/>
          <w:sz w:val="28"/>
          <w:szCs w:val="28"/>
          <w:lang w:val="zh-CN"/>
        </w:rPr>
      </w:pPr>
      <w:r>
        <w:rPr>
          <w:rFonts w:hint="eastAsia" w:ascii="Times New Roman" w:hAnsi="Times New Roman" w:eastAsia="方正仿宋_GBK" w:cs="Times New Roman"/>
          <w:sz w:val="28"/>
          <w:szCs w:val="28"/>
          <w:lang w:val="en-US" w:eastAsia="zh-CN"/>
        </w:rPr>
        <w:t>3、</w:t>
      </w:r>
      <w:r>
        <w:rPr>
          <w:rFonts w:hint="eastAsia" w:ascii="Times New Roman" w:hAnsi="Times New Roman" w:eastAsia="方正仿宋_GBK" w:cs="Times New Roman"/>
          <w:sz w:val="28"/>
          <w:szCs w:val="28"/>
          <w:lang w:val="zh-CN"/>
        </w:rPr>
        <w:t>未被“信用中国”网站列入失信被执行人、重大税收违法案件当事人名单、政府采购严重失信行为记录名单。</w:t>
      </w:r>
    </w:p>
    <w:p>
      <w:pPr>
        <w:pStyle w:val="20"/>
        <w:keepNext w:val="0"/>
        <w:keepLines w:val="0"/>
        <w:pageBreakBefore w:val="0"/>
        <w:widowControl w:val="0"/>
        <w:tabs>
          <w:tab w:val="left" w:pos="5325"/>
        </w:tabs>
        <w:kinsoku/>
        <w:wordWrap/>
        <w:overflowPunct/>
        <w:topLinePunct w:val="0"/>
        <w:bidi w:val="0"/>
        <w:snapToGrid w:val="0"/>
        <w:spacing w:line="240" w:lineRule="auto"/>
        <w:ind w:left="0" w:leftChars="0" w:firstLine="0" w:firstLineChars="0"/>
        <w:contextualSpacing/>
        <w:textAlignment w:val="auto"/>
        <w:rPr>
          <w:rFonts w:ascii="Times New Roman" w:hAnsi="Times New Roman" w:eastAsia="方正仿宋_GBK" w:cs="Times New Roman"/>
          <w:sz w:val="32"/>
          <w:szCs w:val="32"/>
        </w:rPr>
      </w:pPr>
      <w:r>
        <w:rPr>
          <w:rFonts w:hint="eastAsia" w:ascii="黑体" w:hAnsi="黑体" w:eastAsia="黑体" w:cs="Times New Roman"/>
          <w:sz w:val="32"/>
          <w:szCs w:val="32"/>
          <w:lang w:val="en-US" w:eastAsia="zh-CN"/>
        </w:rPr>
        <w:t>七</w:t>
      </w:r>
      <w:r>
        <w:rPr>
          <w:rFonts w:hint="eastAsia" w:ascii="黑体" w:hAnsi="黑体" w:eastAsia="黑体" w:cs="Times New Roman"/>
          <w:sz w:val="32"/>
          <w:szCs w:val="32"/>
        </w:rPr>
        <w:t>、</w:t>
      </w:r>
      <w:r>
        <w:rPr>
          <w:rFonts w:hint="eastAsia" w:ascii="黑体" w:hAnsi="黑体" w:eastAsia="黑体" w:cs="Times New Roman"/>
          <w:kern w:val="2"/>
          <w:sz w:val="32"/>
          <w:szCs w:val="32"/>
          <w:lang w:val="en-US" w:eastAsia="zh-CN" w:bidi="ar-SA"/>
        </w:rPr>
        <w:t>投标文件的组成</w:t>
      </w:r>
    </w:p>
    <w:p>
      <w:pPr>
        <w:keepNext w:val="0"/>
        <w:keepLines w:val="0"/>
        <w:pageBreakBefore w:val="0"/>
        <w:widowControl w:val="0"/>
        <w:kinsoku/>
        <w:wordWrap/>
        <w:overflowPunct/>
        <w:topLinePunct w:val="0"/>
        <w:bidi w:val="0"/>
        <w:snapToGrid w:val="0"/>
        <w:spacing w:line="240" w:lineRule="auto"/>
        <w:ind w:firstLine="562" w:firstLineChars="200"/>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val="en-US" w:eastAsia="zh-CN"/>
        </w:rPr>
        <w:t>投标</w:t>
      </w:r>
      <w:r>
        <w:rPr>
          <w:rFonts w:hint="eastAsia" w:ascii="方正仿宋_GBK" w:hAnsi="方正仿宋_GBK" w:eastAsia="方正仿宋_GBK" w:cs="方正仿宋_GBK"/>
          <w:b/>
          <w:sz w:val="28"/>
          <w:szCs w:val="28"/>
        </w:rPr>
        <w:t>文件由商务技术响应文件、价格响应文件</w:t>
      </w:r>
      <w:r>
        <w:rPr>
          <w:rFonts w:hint="eastAsia" w:ascii="方正仿宋_GBK" w:hAnsi="方正仿宋_GBK" w:eastAsia="方正仿宋_GBK" w:cs="方正仿宋_GBK"/>
          <w:b/>
          <w:sz w:val="28"/>
          <w:szCs w:val="28"/>
          <w:lang w:val="en-US" w:eastAsia="zh-CN"/>
        </w:rPr>
        <w:t>两</w:t>
      </w:r>
      <w:r>
        <w:rPr>
          <w:rFonts w:hint="eastAsia" w:ascii="方正仿宋_GBK" w:hAnsi="方正仿宋_GBK" w:eastAsia="方正仿宋_GBK" w:cs="方正仿宋_GBK"/>
          <w:b/>
          <w:sz w:val="28"/>
          <w:szCs w:val="28"/>
        </w:rPr>
        <w:t>部分组成。</w:t>
      </w:r>
    </w:p>
    <w:p>
      <w:pPr>
        <w:keepNext w:val="0"/>
        <w:keepLines w:val="0"/>
        <w:pageBreakBefore w:val="0"/>
        <w:widowControl w:val="0"/>
        <w:kinsoku/>
        <w:wordWrap/>
        <w:overflowPunct/>
        <w:topLinePunct w:val="0"/>
        <w:bidi w:val="0"/>
        <w:snapToGrid w:val="0"/>
        <w:spacing w:line="240" w:lineRule="auto"/>
        <w:ind w:firstLine="562" w:firstLineChars="200"/>
        <w:contextualSpacing/>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val="en-US" w:eastAsia="zh-CN"/>
        </w:rPr>
        <w:t>(一)</w:t>
      </w:r>
      <w:r>
        <w:rPr>
          <w:rFonts w:hint="eastAsia" w:ascii="方正仿宋_GBK" w:hAnsi="方正仿宋_GBK" w:eastAsia="方正仿宋_GBK" w:cs="方正仿宋_GBK"/>
          <w:b/>
          <w:color w:val="000000" w:themeColor="text1"/>
          <w:sz w:val="28"/>
          <w:szCs w:val="28"/>
          <w14:textFill>
            <w14:solidFill>
              <w14:schemeClr w14:val="tx1"/>
            </w14:solidFill>
          </w14:textFill>
        </w:rPr>
        <w:t>商务技术</w:t>
      </w:r>
      <w:r>
        <w:rPr>
          <w:rFonts w:hint="eastAsia" w:ascii="方正仿宋_GBK" w:hAnsi="方正仿宋_GBK" w:eastAsia="方正仿宋_GBK" w:cs="方正仿宋_GBK"/>
          <w:b/>
          <w:sz w:val="28"/>
          <w:szCs w:val="28"/>
        </w:rPr>
        <w:t>响应文件（</w:t>
      </w:r>
      <w:r>
        <w:rPr>
          <w:rFonts w:hint="eastAsia" w:ascii="方正仿宋_GBK" w:hAnsi="方正仿宋_GBK" w:eastAsia="方正仿宋_GBK" w:cs="方正仿宋_GBK"/>
          <w:b/>
          <w:color w:val="000000" w:themeColor="text1"/>
          <w:sz w:val="28"/>
          <w:szCs w:val="28"/>
          <w14:textFill>
            <w14:solidFill>
              <w14:schemeClr w14:val="tx1"/>
            </w14:solidFill>
          </w14:textFill>
        </w:rPr>
        <w:t>不得出现报价</w:t>
      </w:r>
      <w:r>
        <w:rPr>
          <w:rFonts w:hint="eastAsia" w:ascii="方正仿宋_GBK" w:hAnsi="方正仿宋_GBK" w:eastAsia="方正仿宋_GBK" w:cs="方正仿宋_GBK"/>
          <w:b/>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b/>
          <w:sz w:val="28"/>
          <w:szCs w:val="28"/>
        </w:rPr>
        <w:t>一正</w:t>
      </w:r>
      <w:r>
        <w:rPr>
          <w:rFonts w:hint="eastAsia" w:ascii="方正仿宋_GBK" w:hAnsi="方正仿宋_GBK" w:eastAsia="方正仿宋_GBK" w:cs="方正仿宋_GBK"/>
          <w:b/>
          <w:sz w:val="28"/>
          <w:szCs w:val="28"/>
          <w:lang w:val="en-US" w:eastAsia="zh-CN"/>
        </w:rPr>
        <w:t>两</w:t>
      </w:r>
      <w:r>
        <w:rPr>
          <w:rFonts w:hint="eastAsia" w:ascii="方正仿宋_GBK" w:hAnsi="方正仿宋_GBK" w:eastAsia="方正仿宋_GBK" w:cs="方正仿宋_GBK"/>
          <w:b/>
          <w:sz w:val="28"/>
          <w:szCs w:val="28"/>
        </w:rPr>
        <w:t>副，单独密封装订）：</w:t>
      </w:r>
    </w:p>
    <w:p>
      <w:pPr>
        <w:pStyle w:val="22"/>
        <w:keepNext w:val="0"/>
        <w:keepLines w:val="0"/>
        <w:pageBreakBefore w:val="0"/>
        <w:widowControl w:val="0"/>
        <w:kinsoku/>
        <w:wordWrap/>
        <w:overflowPunct/>
        <w:topLinePunct w:val="0"/>
        <w:autoSpaceDE w:val="0"/>
        <w:autoSpaceDN w:val="0"/>
        <w:bidi w:val="0"/>
        <w:adjustRightInd w:val="0"/>
        <w:snapToGrid w:val="0"/>
        <w:spacing w:line="240" w:lineRule="auto"/>
        <w:ind w:right="-197" w:rightChars="-94" w:firstLine="640"/>
        <w:textAlignment w:val="auto"/>
        <w:rPr>
          <w:rFonts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zh-CN" w:eastAsia="zh-CN" w:bidi="ar-SA"/>
        </w:rPr>
        <w:t>1、法定代表人参加投标的，提供法定代表人身份证复印件（加盖公章）；授权委托人参加投标的，提供法定代表人授权委托书、法定代表人和授权委托人身份证复印件（加盖公章）；</w:t>
      </w:r>
    </w:p>
    <w:p>
      <w:pPr>
        <w:pStyle w:val="20"/>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560" w:firstLineChars="200"/>
        <w:contextualSpacing/>
        <w:jc w:val="left"/>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2、</w:t>
      </w:r>
      <w:r>
        <w:rPr>
          <w:rFonts w:hint="eastAsia" w:ascii="Times New Roman" w:hAnsi="Times New Roman" w:eastAsia="方正仿宋_GBK" w:cs="Times New Roman"/>
          <w:kern w:val="2"/>
          <w:sz w:val="28"/>
          <w:szCs w:val="28"/>
          <w:lang w:val="zh-CN" w:eastAsia="zh-CN" w:bidi="ar-SA"/>
        </w:rPr>
        <w:t>营业执照复印件（加盖公章）；</w:t>
      </w:r>
    </w:p>
    <w:p>
      <w:pPr>
        <w:pStyle w:val="20"/>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firstLine="560" w:firstLineChars="200"/>
        <w:contextualSpacing/>
        <w:jc w:val="left"/>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3、信用中国企业信用信息报告</w:t>
      </w:r>
      <w:r>
        <w:rPr>
          <w:rFonts w:hint="eastAsia" w:ascii="Times New Roman" w:hAnsi="Times New Roman" w:eastAsia="方正仿宋_GBK" w:cs="Times New Roman"/>
          <w:kern w:val="2"/>
          <w:sz w:val="28"/>
          <w:szCs w:val="28"/>
          <w:lang w:val="zh-CN" w:eastAsia="zh-CN" w:bidi="ar-SA"/>
        </w:rPr>
        <w:t>（加盖公章）；</w:t>
      </w:r>
    </w:p>
    <w:p>
      <w:pPr>
        <w:pStyle w:val="22"/>
        <w:keepNext w:val="0"/>
        <w:keepLines w:val="0"/>
        <w:pageBreakBefore w:val="0"/>
        <w:widowControl w:val="0"/>
        <w:kinsoku/>
        <w:wordWrap/>
        <w:overflowPunct/>
        <w:topLinePunct w:val="0"/>
        <w:autoSpaceDE w:val="0"/>
        <w:autoSpaceDN w:val="0"/>
        <w:bidi w:val="0"/>
        <w:adjustRightInd w:val="0"/>
        <w:snapToGrid w:val="0"/>
        <w:spacing w:line="240" w:lineRule="auto"/>
        <w:ind w:right="-197" w:rightChars="-94" w:firstLine="640"/>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4、</w:t>
      </w:r>
      <w:r>
        <w:rPr>
          <w:rFonts w:hint="eastAsia" w:ascii="Times New Roman" w:hAnsi="Times New Roman" w:eastAsia="方正仿宋_GBK" w:cs="Times New Roman"/>
          <w:kern w:val="2"/>
          <w:sz w:val="28"/>
          <w:szCs w:val="28"/>
          <w:lang w:val="zh-CN" w:eastAsia="zh-CN" w:bidi="ar-SA"/>
        </w:rPr>
        <w:t>投标承诺函（</w:t>
      </w:r>
      <w:r>
        <w:rPr>
          <w:rFonts w:hint="eastAsia" w:ascii="Times New Roman" w:hAnsi="Times New Roman" w:eastAsia="方正仿宋_GBK" w:cs="Times New Roman"/>
          <w:kern w:val="2"/>
          <w:sz w:val="28"/>
          <w:szCs w:val="28"/>
          <w:lang w:val="en-US" w:eastAsia="zh-CN" w:bidi="ar-SA"/>
        </w:rPr>
        <w:t>见附件2</w:t>
      </w:r>
      <w:r>
        <w:rPr>
          <w:rFonts w:hint="eastAsia" w:ascii="Times New Roman" w:hAnsi="Times New Roman" w:eastAsia="方正仿宋_GBK" w:cs="Times New Roman"/>
          <w:kern w:val="2"/>
          <w:sz w:val="28"/>
          <w:szCs w:val="28"/>
          <w:lang w:val="zh-CN" w:eastAsia="zh-CN" w:bidi="ar-SA"/>
        </w:rPr>
        <w:t>）；</w:t>
      </w:r>
    </w:p>
    <w:p>
      <w:pPr>
        <w:pStyle w:val="22"/>
        <w:keepNext w:val="0"/>
        <w:keepLines w:val="0"/>
        <w:pageBreakBefore w:val="0"/>
        <w:widowControl w:val="0"/>
        <w:kinsoku/>
        <w:wordWrap/>
        <w:overflowPunct/>
        <w:topLinePunct w:val="0"/>
        <w:autoSpaceDE w:val="0"/>
        <w:autoSpaceDN w:val="0"/>
        <w:bidi w:val="0"/>
        <w:adjustRightInd w:val="0"/>
        <w:snapToGrid w:val="0"/>
        <w:spacing w:line="240" w:lineRule="auto"/>
        <w:ind w:right="-197" w:rightChars="-94" w:firstLine="640"/>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5、响应方案，</w:t>
      </w:r>
      <w:r>
        <w:rPr>
          <w:rFonts w:hint="eastAsia" w:ascii="Times New Roman" w:hAnsi="Times New Roman" w:eastAsia="方正仿宋_GBK" w:cs="Times New Roman"/>
          <w:kern w:val="2"/>
          <w:sz w:val="28"/>
          <w:szCs w:val="28"/>
          <w:lang w:val="zh-CN" w:eastAsia="zh-CN" w:bidi="ar-SA"/>
        </w:rPr>
        <w:t>为方便评委评审，请投标人按评标办法中所涉及的事项顺序进行编制，可以补充相关材料；</w:t>
      </w:r>
    </w:p>
    <w:p>
      <w:pPr>
        <w:keepNext w:val="0"/>
        <w:keepLines w:val="0"/>
        <w:pageBreakBefore w:val="0"/>
        <w:widowControl w:val="0"/>
        <w:kinsoku/>
        <w:wordWrap/>
        <w:overflowPunct/>
        <w:topLinePunct w:val="0"/>
        <w:bidi w:val="0"/>
        <w:snapToGrid w:val="0"/>
        <w:spacing w:line="240" w:lineRule="auto"/>
        <w:ind w:firstLine="560" w:firstLineChars="200"/>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6</w:t>
      </w:r>
      <w:r>
        <w:rPr>
          <w:rFonts w:hint="eastAsia" w:ascii="Times New Roman" w:hAnsi="Times New Roman" w:eastAsia="方正仿宋_GBK" w:cs="Times New Roman"/>
          <w:kern w:val="2"/>
          <w:sz w:val="28"/>
          <w:szCs w:val="28"/>
          <w:lang w:val="zh-CN" w:eastAsia="zh-CN" w:bidi="ar-SA"/>
        </w:rPr>
        <w:t>、评标办法中未涉及的事项，投标人认为需要提交的其他资料。</w:t>
      </w:r>
    </w:p>
    <w:p>
      <w:pPr>
        <w:pStyle w:val="10"/>
        <w:keepNext w:val="0"/>
        <w:keepLines w:val="0"/>
        <w:pageBreakBefore w:val="0"/>
        <w:wordWrap/>
        <w:overflowPunct/>
        <w:bidi w:val="0"/>
        <w:spacing w:after="0" w:line="240" w:lineRule="auto"/>
        <w:ind w:left="0" w:leftChars="0" w:firstLine="281" w:firstLineChars="100"/>
        <w:rPr>
          <w:rFonts w:hint="eastAsia" w:eastAsia="仿宋"/>
          <w:sz w:val="28"/>
          <w:szCs w:val="28"/>
          <w:lang w:eastAsia="zh-CN"/>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二</w:t>
      </w:r>
      <w:r>
        <w:rPr>
          <w:rFonts w:hint="eastAsia" w:ascii="仿宋" w:hAnsi="仿宋" w:eastAsia="仿宋" w:cs="仿宋"/>
          <w:b/>
          <w:sz w:val="28"/>
          <w:szCs w:val="28"/>
          <w:lang w:eastAsia="zh-CN"/>
        </w:rPr>
        <w:t>）</w:t>
      </w:r>
      <w:r>
        <w:rPr>
          <w:rFonts w:hint="eastAsia" w:ascii="仿宋" w:hAnsi="仿宋" w:eastAsia="仿宋" w:cs="仿宋"/>
          <w:b/>
          <w:sz w:val="28"/>
          <w:szCs w:val="28"/>
        </w:rPr>
        <w:t>价格响应文件</w:t>
      </w: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单本</w:t>
      </w:r>
      <w:r>
        <w:rPr>
          <w:rFonts w:hint="eastAsia" w:ascii="仿宋" w:hAnsi="仿宋" w:eastAsia="仿宋" w:cs="仿宋"/>
          <w:b/>
          <w:sz w:val="28"/>
          <w:szCs w:val="28"/>
        </w:rPr>
        <w:t>单独密封装订</w:t>
      </w:r>
      <w:r>
        <w:rPr>
          <w:rFonts w:hint="eastAsia" w:ascii="仿宋" w:hAnsi="仿宋" w:eastAsia="仿宋" w:cs="仿宋"/>
          <w:b/>
          <w:sz w:val="28"/>
          <w:szCs w:val="28"/>
          <w:lang w:eastAsia="zh-CN"/>
        </w:rPr>
        <w:t>）</w:t>
      </w:r>
    </w:p>
    <w:p>
      <w:pPr>
        <w:keepNext w:val="0"/>
        <w:keepLines w:val="0"/>
        <w:pageBreakBefore w:val="0"/>
        <w:widowControl w:val="0"/>
        <w:kinsoku/>
        <w:wordWrap/>
        <w:overflowPunct/>
        <w:topLinePunct w:val="0"/>
        <w:bidi w:val="0"/>
        <w:snapToGrid w:val="0"/>
        <w:spacing w:line="240" w:lineRule="auto"/>
        <w:ind w:firstLine="560" w:firstLineChars="200"/>
        <w:textAlignment w:val="auto"/>
        <w:rPr>
          <w:rFonts w:hint="eastAsia" w:ascii="Times New Roman" w:hAnsi="Times New Roman" w:eastAsia="方正仿宋_GBK" w:cs="Times New Roman"/>
          <w:kern w:val="2"/>
          <w:sz w:val="28"/>
          <w:szCs w:val="28"/>
          <w:lang w:val="zh-CN" w:eastAsia="zh-CN" w:bidi="ar-SA"/>
        </w:rPr>
      </w:pPr>
      <w:r>
        <w:rPr>
          <w:rFonts w:hint="eastAsia" w:ascii="Times New Roman" w:hAnsi="Times New Roman" w:eastAsia="方正仿宋_GBK" w:cs="Times New Roman"/>
          <w:kern w:val="2"/>
          <w:sz w:val="28"/>
          <w:szCs w:val="28"/>
          <w:lang w:val="en-US" w:eastAsia="zh-CN" w:bidi="ar-SA"/>
        </w:rPr>
        <w:t>1</w:t>
      </w:r>
      <w:r>
        <w:rPr>
          <w:rFonts w:hint="eastAsia" w:ascii="Times New Roman" w:hAnsi="Times New Roman" w:eastAsia="方正仿宋_GBK" w:cs="Times New Roman"/>
          <w:kern w:val="2"/>
          <w:sz w:val="28"/>
          <w:szCs w:val="28"/>
          <w:lang w:val="zh-CN" w:eastAsia="zh-CN" w:bidi="ar-SA"/>
        </w:rPr>
        <w:t>、</w:t>
      </w:r>
      <w:r>
        <w:rPr>
          <w:rFonts w:hint="eastAsia" w:ascii="Times New Roman" w:hAnsi="Times New Roman" w:eastAsia="方正仿宋_GBK" w:cs="Times New Roman"/>
          <w:kern w:val="2"/>
          <w:sz w:val="28"/>
          <w:szCs w:val="28"/>
          <w:lang w:val="en-US" w:eastAsia="zh-CN" w:bidi="ar-SA"/>
        </w:rPr>
        <w:t>分项</w:t>
      </w:r>
      <w:r>
        <w:rPr>
          <w:rFonts w:hint="eastAsia" w:ascii="Times New Roman" w:hAnsi="Times New Roman" w:eastAsia="方正仿宋_GBK" w:cs="Times New Roman"/>
          <w:kern w:val="2"/>
          <w:sz w:val="28"/>
          <w:szCs w:val="28"/>
          <w:lang w:val="zh-CN" w:eastAsia="zh-CN" w:bidi="ar-SA"/>
        </w:rPr>
        <w:t>明细报价</w:t>
      </w:r>
      <w:r>
        <w:rPr>
          <w:rFonts w:hint="eastAsia" w:ascii="Times New Roman" w:hAnsi="Times New Roman" w:eastAsia="方正仿宋_GBK" w:cs="Times New Roman"/>
          <w:kern w:val="2"/>
          <w:sz w:val="28"/>
          <w:szCs w:val="28"/>
          <w:lang w:val="en-US" w:eastAsia="zh-CN" w:bidi="ar-SA"/>
        </w:rPr>
        <w:t>表；</w:t>
      </w:r>
    </w:p>
    <w:p>
      <w:pPr>
        <w:keepNext w:val="0"/>
        <w:keepLines w:val="0"/>
        <w:pageBreakBefore w:val="0"/>
        <w:widowControl w:val="0"/>
        <w:kinsoku/>
        <w:wordWrap/>
        <w:overflowPunct/>
        <w:topLinePunct w:val="0"/>
        <w:bidi w:val="0"/>
        <w:snapToGrid w:val="0"/>
        <w:spacing w:line="240" w:lineRule="auto"/>
        <w:ind w:firstLine="560" w:firstLineChars="200"/>
        <w:textAlignment w:val="auto"/>
        <w:rPr>
          <w:rFonts w:hint="eastAsia" w:ascii="Times New Roman" w:hAnsi="Times New Roman" w:eastAsia="方正仿宋_GBK" w:cs="Times New Roman"/>
          <w:kern w:val="2"/>
          <w:sz w:val="32"/>
          <w:szCs w:val="32"/>
          <w:lang w:val="zh-CN" w:eastAsia="zh-CN" w:bidi="ar-SA"/>
        </w:rPr>
      </w:pPr>
      <w:r>
        <w:rPr>
          <w:rFonts w:hint="eastAsia" w:ascii="Times New Roman" w:hAnsi="Times New Roman" w:eastAsia="方正仿宋_GBK" w:cs="Times New Roman"/>
          <w:kern w:val="2"/>
          <w:sz w:val="28"/>
          <w:szCs w:val="28"/>
          <w:lang w:val="en-US" w:eastAsia="zh-CN" w:bidi="ar-SA"/>
        </w:rPr>
        <w:t>2</w:t>
      </w:r>
      <w:r>
        <w:rPr>
          <w:rFonts w:hint="eastAsia" w:ascii="Times New Roman" w:hAnsi="Times New Roman" w:eastAsia="方正仿宋_GBK" w:cs="Times New Roman"/>
          <w:kern w:val="2"/>
          <w:sz w:val="28"/>
          <w:szCs w:val="28"/>
          <w:lang w:val="zh-CN" w:eastAsia="zh-CN" w:bidi="ar-SA"/>
        </w:rPr>
        <w:t>、磋商响应报价表（见附件</w:t>
      </w:r>
      <w:r>
        <w:rPr>
          <w:rFonts w:hint="eastAsia" w:ascii="Times New Roman" w:hAnsi="Times New Roman" w:eastAsia="方正仿宋_GBK" w:cs="Times New Roman"/>
          <w:kern w:val="2"/>
          <w:sz w:val="28"/>
          <w:szCs w:val="28"/>
          <w:lang w:val="en-US" w:eastAsia="zh-CN" w:bidi="ar-SA"/>
        </w:rPr>
        <w:t>3</w:t>
      </w:r>
      <w:r>
        <w:rPr>
          <w:rFonts w:hint="eastAsia" w:ascii="Times New Roman" w:hAnsi="Times New Roman" w:eastAsia="方正仿宋_GBK" w:cs="Times New Roman"/>
          <w:kern w:val="2"/>
          <w:sz w:val="28"/>
          <w:szCs w:val="28"/>
          <w:lang w:val="zh-CN" w:eastAsia="zh-CN" w:bidi="ar-SA"/>
        </w:rPr>
        <w:t>）。</w:t>
      </w:r>
    </w:p>
    <w:p>
      <w:pPr>
        <w:pStyle w:val="10"/>
        <w:ind w:left="0" w:leftChars="0" w:firstLine="0" w:firstLineChars="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八、评分标准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采用综合评分法</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zh-CN" w:eastAsia="zh-CN"/>
        </w:rPr>
        <w:t>按照供应商</w:t>
      </w:r>
      <w:r>
        <w:rPr>
          <w:rFonts w:hint="eastAsia" w:ascii="方正仿宋_GBK" w:hAnsi="方正仿宋_GBK" w:eastAsia="方正仿宋_GBK" w:cs="方正仿宋_GBK"/>
          <w:sz w:val="28"/>
          <w:szCs w:val="28"/>
          <w:lang w:val="en-US" w:eastAsia="zh-CN"/>
        </w:rPr>
        <w:t>提交的</w:t>
      </w:r>
      <w:r>
        <w:rPr>
          <w:rFonts w:hint="eastAsia" w:ascii="方正仿宋_GBK" w:hAnsi="方正仿宋_GBK" w:eastAsia="方正仿宋_GBK" w:cs="方正仿宋_GBK"/>
          <w:sz w:val="28"/>
          <w:szCs w:val="28"/>
        </w:rPr>
        <w:t>响应文件和最后报价进行综合评分</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最终得分最高的为第一成交候选人，在分数相同的情况下由采购人代表现场抽签确定成交候选人</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若第一成交候选人弃标的，由第二成交候选人成交，依次类推。</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商务技术部分评审结束后，再开启最后报价计算分值。总分值为100分，加分和减分因素除外。</w:t>
      </w:r>
    </w:p>
    <w:p>
      <w:pPr>
        <w:keepNext w:val="0"/>
        <w:keepLines w:val="0"/>
        <w:pageBreakBefore w:val="0"/>
        <w:kinsoku/>
        <w:wordWrap/>
        <w:overflowPunct/>
        <w:topLinePunct w:val="0"/>
        <w:bidi w:val="0"/>
        <w:snapToGrid w:val="0"/>
        <w:spacing w:line="240" w:lineRule="auto"/>
        <w:ind w:left="2" w:firstLine="562" w:firstLineChars="200"/>
        <w:jc w:val="left"/>
        <w:rPr>
          <w:rFonts w:hint="eastAsia" w:ascii="方正仿宋_GBK" w:hAnsi="方正仿宋_GBK" w:eastAsia="方正仿宋_GBK" w:cs="方正仿宋_GBK"/>
          <w:color w:val="000000" w:themeColor="text1"/>
          <w:sz w:val="28"/>
          <w:szCs w:val="28"/>
          <w:lang w:val="zh-CN"/>
          <w14:textFill>
            <w14:solidFill>
              <w14:schemeClr w14:val="tx1"/>
            </w14:solidFill>
          </w14:textFill>
        </w:rPr>
      </w:pPr>
      <w:r>
        <w:rPr>
          <w:rFonts w:hint="eastAsia" w:ascii="方正仿宋_GBK" w:hAnsi="方正仿宋_GBK" w:eastAsia="方正仿宋_GBK" w:cs="方正仿宋_GBK"/>
          <w:b/>
          <w:color w:val="000000" w:themeColor="text1"/>
          <w:sz w:val="28"/>
          <w:szCs w:val="28"/>
          <w:lang w:val="zh-CN"/>
          <w14:textFill>
            <w14:solidFill>
              <w14:schemeClr w14:val="tx1"/>
            </w14:solidFill>
          </w14:textFill>
        </w:rPr>
        <w:t>商务技术分</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28"/>
          <w:szCs w:val="28"/>
          <w14:textFill>
            <w14:solidFill>
              <w14:schemeClr w14:val="tx1"/>
            </w14:solidFill>
          </w14:textFill>
        </w:rPr>
        <w:t>0</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分</w:t>
      </w:r>
    </w:p>
    <w:p>
      <w:pPr>
        <w:keepNext w:val="0"/>
        <w:keepLines w:val="0"/>
        <w:pageBreakBefore w:val="0"/>
        <w:kinsoku/>
        <w:wordWrap/>
        <w:overflowPunct/>
        <w:topLinePunct w:val="0"/>
        <w:bidi w:val="0"/>
        <w:snapToGrid w:val="0"/>
        <w:spacing w:line="240" w:lineRule="auto"/>
        <w:ind w:firstLine="560" w:firstLineChars="200"/>
        <w:contextualSpacing/>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各投标人得分为评委会成员评分的算术平均分，分值保留小数点后两位。</w:t>
      </w:r>
    </w:p>
    <w:tbl>
      <w:tblPr>
        <w:tblStyle w:val="11"/>
        <w:tblW w:w="8084" w:type="dxa"/>
        <w:tblInd w:w="333" w:type="dxa"/>
        <w:tblLayout w:type="autofit"/>
        <w:tblCellMar>
          <w:top w:w="0" w:type="dxa"/>
          <w:left w:w="0" w:type="dxa"/>
          <w:bottom w:w="0" w:type="dxa"/>
          <w:right w:w="0" w:type="dxa"/>
        </w:tblCellMar>
      </w:tblPr>
      <w:tblGrid>
        <w:gridCol w:w="672"/>
        <w:gridCol w:w="1152"/>
        <w:gridCol w:w="768"/>
        <w:gridCol w:w="5492"/>
      </w:tblGrid>
      <w:tr>
        <w:tblPrEx>
          <w:tblCellMar>
            <w:top w:w="0" w:type="dxa"/>
            <w:left w:w="0" w:type="dxa"/>
            <w:bottom w:w="0" w:type="dxa"/>
            <w:right w:w="0" w:type="dxa"/>
          </w:tblCellMar>
        </w:tblPrEx>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序号</w:t>
            </w: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b/>
                <w:sz w:val="24"/>
                <w:szCs w:val="24"/>
              </w:rPr>
            </w:pPr>
            <w:r>
              <w:rPr>
                <w:rFonts w:hint="eastAsia" w:ascii="宋体" w:hAnsi="宋体" w:eastAsia="宋体" w:cs="宋体"/>
                <w:b/>
                <w:sz w:val="24"/>
                <w:szCs w:val="24"/>
              </w:rPr>
              <w:t>评审标准</w:t>
            </w:r>
          </w:p>
        </w:tc>
      </w:tr>
      <w:tr>
        <w:tblPrEx>
          <w:tblCellMar>
            <w:top w:w="0" w:type="dxa"/>
            <w:left w:w="0" w:type="dxa"/>
            <w:bottom w:w="0" w:type="dxa"/>
            <w:right w:w="0" w:type="dxa"/>
          </w:tblCellMar>
        </w:tblPrEx>
        <w:trPr>
          <w:trHeight w:val="1409" w:hRule="atLeast"/>
        </w:trPr>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rPr>
              <w:t>应用需求的理解与分析</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5</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投标单位对项目现状的了解、需求的理解情况及方案中的总体架构设计的先进性、合理性。由评委根据其方案酌情打分。分档评分：评价为“优”得</w:t>
            </w:r>
            <w:r>
              <w:rPr>
                <w:rFonts w:hint="eastAsia" w:ascii="宋体" w:hAnsi="宋体" w:eastAsia="宋体" w:cs="宋体"/>
                <w:bCs/>
                <w:kern w:val="0"/>
                <w:sz w:val="24"/>
                <w:szCs w:val="24"/>
                <w:lang w:val="en-US" w:eastAsia="zh-CN"/>
              </w:rPr>
              <w:t>4-5</w:t>
            </w:r>
            <w:r>
              <w:rPr>
                <w:rFonts w:hint="eastAsia" w:ascii="宋体" w:hAnsi="宋体" w:eastAsia="宋体" w:cs="宋体"/>
                <w:bCs/>
                <w:kern w:val="0"/>
                <w:sz w:val="24"/>
                <w:szCs w:val="24"/>
              </w:rPr>
              <w:t>分；评价为“良”得</w:t>
            </w:r>
            <w:r>
              <w:rPr>
                <w:rFonts w:hint="eastAsia" w:ascii="宋体" w:hAnsi="宋体" w:eastAsia="宋体" w:cs="宋体"/>
                <w:bCs/>
                <w:kern w:val="0"/>
                <w:sz w:val="24"/>
                <w:szCs w:val="24"/>
                <w:lang w:val="en-US" w:eastAsia="zh-CN"/>
              </w:rPr>
              <w:t>2-3</w:t>
            </w:r>
            <w:r>
              <w:rPr>
                <w:rFonts w:hint="eastAsia" w:ascii="宋体" w:hAnsi="宋体" w:eastAsia="宋体" w:cs="宋体"/>
                <w:bCs/>
                <w:kern w:val="0"/>
                <w:sz w:val="24"/>
                <w:szCs w:val="24"/>
              </w:rPr>
              <w:t>分；评价为“</w:t>
            </w:r>
            <w:r>
              <w:rPr>
                <w:rFonts w:hint="eastAsia" w:ascii="宋体" w:hAnsi="宋体" w:eastAsia="宋体" w:cs="宋体"/>
                <w:bCs/>
                <w:kern w:val="0"/>
                <w:sz w:val="24"/>
                <w:szCs w:val="24"/>
                <w:lang w:val="en-US" w:eastAsia="zh-CN"/>
              </w:rPr>
              <w:t>一般</w:t>
            </w:r>
            <w:r>
              <w:rPr>
                <w:rFonts w:hint="eastAsia" w:ascii="宋体" w:hAnsi="宋体" w:eastAsia="宋体" w:cs="宋体"/>
                <w:bCs/>
                <w:kern w:val="0"/>
                <w:sz w:val="24"/>
                <w:szCs w:val="24"/>
              </w:rPr>
              <w:t>”得</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评价为“差”或未提供的不得分。</w:t>
            </w:r>
          </w:p>
        </w:tc>
      </w:tr>
      <w:tr>
        <w:tblPrEx>
          <w:tblCellMar>
            <w:top w:w="0" w:type="dxa"/>
            <w:left w:w="0" w:type="dxa"/>
            <w:bottom w:w="0" w:type="dxa"/>
            <w:right w:w="0" w:type="dxa"/>
          </w:tblCellMar>
        </w:tblPrEx>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功能性</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要求</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55</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top"/>
          </w:tcPr>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1</w:t>
            </w:r>
            <w:r>
              <w:rPr>
                <w:rFonts w:hint="eastAsia" w:ascii="宋体" w:hAnsi="宋体" w:eastAsia="宋体" w:cs="宋体"/>
                <w:bCs/>
                <w:kern w:val="0"/>
                <w:sz w:val="24"/>
                <w:szCs w:val="24"/>
                <w:lang w:val="en-US" w:eastAsia="zh-CN"/>
              </w:rPr>
              <w:t>.</w:t>
            </w:r>
            <w:r>
              <w:rPr>
                <w:rFonts w:hint="eastAsia" w:ascii="宋体" w:hAnsi="宋体" w:eastAsia="宋体" w:cs="宋体"/>
                <w:bCs/>
                <w:kern w:val="0"/>
                <w:sz w:val="24"/>
                <w:szCs w:val="24"/>
              </w:rPr>
              <w:t>新生儿出生“一件事”外网申报（4分）</w:t>
            </w:r>
          </w:p>
          <w:p>
            <w:pPr>
              <w:spacing w:line="240" w:lineRule="auto"/>
              <w:rPr>
                <w:rFonts w:hint="eastAsia" w:ascii="宋体" w:hAnsi="宋体" w:eastAsia="宋体" w:cs="宋体"/>
                <w:bCs/>
                <w:kern w:val="0"/>
                <w:sz w:val="24"/>
                <w:szCs w:val="24"/>
                <w:lang w:eastAsia="zh-CN"/>
              </w:rPr>
            </w:pPr>
            <w:r>
              <w:rPr>
                <w:rFonts w:hint="eastAsia" w:ascii="宋体" w:hAnsi="宋体" w:eastAsia="宋体" w:cs="宋体"/>
                <w:bCs/>
                <w:kern w:val="0"/>
                <w:sz w:val="24"/>
                <w:szCs w:val="24"/>
              </w:rPr>
              <w:t>对投标人提供的新生儿出生“一件事”外网申报技术方案功能响应情况进行综合评分，应提供①新生儿出生“一件事”专栏、②新生儿出生“一件事”一张表单内容且满足本项目需求</w:t>
            </w:r>
            <w:r>
              <w:rPr>
                <w:rFonts w:hint="eastAsia" w:ascii="宋体" w:hAnsi="宋体" w:eastAsia="宋体" w:cs="宋体"/>
                <w:bCs/>
                <w:kern w:val="0"/>
                <w:sz w:val="24"/>
                <w:szCs w:val="24"/>
                <w:lang w:eastAsia="zh-CN"/>
              </w:rPr>
              <w:t>。</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根据投标人提供的方案进行综合评分,优秀得</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分，良好的得2</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分，一般的得1分,差或未提供的不得分。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2</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开药店“一件事”专栏（3分）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对投标人提供的开药店“一件事”专栏技术方案功能响应情况进行综合评分，优秀的得3分；良好的得2分；一般的得1分；未提供不得分。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新生儿出生“一件事”受理功能（15分）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对投标人提供的新生儿出生“一件事”受理功能技术方案功能响应情况进行综合评分，应提供①新生儿出生“一件事”功能配置模块、②事项同步、③窗口设置、④统一受理工作台、⑤申报信息查看内容且满足本项目需求，根据投标人提供的方案进行综合评分,优秀得</w:t>
            </w:r>
            <w:r>
              <w:rPr>
                <w:rFonts w:hint="eastAsia" w:ascii="宋体" w:hAnsi="宋体" w:eastAsia="宋体" w:cs="宋体"/>
                <w:bCs/>
                <w:kern w:val="0"/>
                <w:sz w:val="24"/>
                <w:szCs w:val="24"/>
                <w:lang w:val="en-US" w:eastAsia="zh-CN"/>
              </w:rPr>
              <w:t>8-10</w:t>
            </w:r>
            <w:r>
              <w:rPr>
                <w:rFonts w:hint="eastAsia" w:ascii="宋体" w:hAnsi="宋体" w:eastAsia="宋体" w:cs="宋体"/>
                <w:bCs/>
                <w:kern w:val="0"/>
                <w:sz w:val="24"/>
                <w:szCs w:val="24"/>
              </w:rPr>
              <w:t>分，良好的得</w:t>
            </w:r>
            <w:r>
              <w:rPr>
                <w:rFonts w:hint="eastAsia" w:ascii="宋体" w:hAnsi="宋体" w:eastAsia="宋体" w:cs="宋体"/>
                <w:bCs/>
                <w:kern w:val="0"/>
                <w:sz w:val="24"/>
                <w:szCs w:val="24"/>
                <w:lang w:val="en-US" w:eastAsia="zh-CN"/>
              </w:rPr>
              <w:t>4-7</w:t>
            </w:r>
            <w:r>
              <w:rPr>
                <w:rFonts w:hint="eastAsia" w:ascii="宋体" w:hAnsi="宋体" w:eastAsia="宋体" w:cs="宋体"/>
                <w:bCs/>
                <w:kern w:val="0"/>
                <w:sz w:val="24"/>
                <w:szCs w:val="24"/>
              </w:rPr>
              <w:t>分，一般的得1</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分,差或未提供的不得分。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其中①②③④⑤为核心建设需求，须对应提供系统截图，每有一项得1分，最多得5分。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开药店“一件事”受理功能（20分）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对投标人提供的开药店“一件事”受理功能技术方案功能响应情况进行综合评分，应提供①事项同步、②窗口设置、③统一受理工作台、④办件结果上报、⑤统计分析、⑥申报信息查看、⑦运行监察内容且满足本项目需求，根据投标人提供的方案进行综合评分,优秀得</w:t>
            </w:r>
            <w:r>
              <w:rPr>
                <w:rFonts w:hint="eastAsia" w:ascii="宋体" w:hAnsi="宋体" w:eastAsia="宋体" w:cs="宋体"/>
                <w:bCs/>
                <w:kern w:val="0"/>
                <w:sz w:val="24"/>
                <w:szCs w:val="24"/>
                <w:lang w:val="en-US" w:eastAsia="zh-CN"/>
              </w:rPr>
              <w:t>10-14</w:t>
            </w:r>
            <w:r>
              <w:rPr>
                <w:rFonts w:hint="eastAsia" w:ascii="宋体" w:hAnsi="宋体" w:eastAsia="宋体" w:cs="宋体"/>
                <w:bCs/>
                <w:kern w:val="0"/>
                <w:sz w:val="24"/>
                <w:szCs w:val="24"/>
              </w:rPr>
              <w:t>分，良好的得</w:t>
            </w:r>
            <w:r>
              <w:rPr>
                <w:rFonts w:hint="eastAsia" w:ascii="宋体" w:hAnsi="宋体" w:eastAsia="宋体" w:cs="宋体"/>
                <w:bCs/>
                <w:kern w:val="0"/>
                <w:sz w:val="24"/>
                <w:szCs w:val="24"/>
                <w:lang w:val="en-US" w:eastAsia="zh-CN"/>
              </w:rPr>
              <w:t>4-9</w:t>
            </w:r>
            <w:r>
              <w:rPr>
                <w:rFonts w:hint="eastAsia" w:ascii="宋体" w:hAnsi="宋体" w:eastAsia="宋体" w:cs="宋体"/>
                <w:bCs/>
                <w:kern w:val="0"/>
                <w:sz w:val="24"/>
                <w:szCs w:val="24"/>
              </w:rPr>
              <w:t>分，一般的得1</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分,差或未提供的不得分。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其中①②③⑤⑥⑦为核心建设需求，须对应提供系统截图，每有一项得1分，最多得6分。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5.</w:t>
            </w:r>
            <w:r>
              <w:rPr>
                <w:rFonts w:hint="eastAsia" w:ascii="宋体" w:hAnsi="宋体" w:eastAsia="宋体" w:cs="宋体"/>
                <w:bCs/>
                <w:kern w:val="0"/>
                <w:sz w:val="24"/>
                <w:szCs w:val="24"/>
              </w:rPr>
              <w:t>与市县一体化在线政务服务平台对接（</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rPr>
              <w:t>对投标人提供的与市县一体化在线政务服务平台对接技术方案功能响应情况进行综合评分，优秀的得</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分；良好的得2</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分；一般的得1分；未提供不得分。</w:t>
            </w:r>
          </w:p>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6.</w:t>
            </w:r>
            <w:r>
              <w:rPr>
                <w:rFonts w:hint="eastAsia" w:ascii="宋体" w:hAnsi="宋体" w:eastAsia="宋体" w:cs="宋体"/>
                <w:bCs/>
                <w:kern w:val="0"/>
                <w:sz w:val="24"/>
                <w:szCs w:val="24"/>
              </w:rPr>
              <w:t>与省级综合服务系统对接（9分）</w:t>
            </w:r>
          </w:p>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rPr>
              <w:t>对投标人提供的与省级综合服务系统对接技术方案功能响应情况进行综合评分，应提供①出生一件事“一表”接口对接、②出生一件事“一单”接口对接、③出生一件事事项接口对接、④结果信息接口对接、⑤异常信息接口对接、⑥</w:t>
            </w:r>
            <w:r>
              <w:rPr>
                <w:rFonts w:hint="eastAsia" w:ascii="宋体" w:hAnsi="宋体" w:eastAsia="宋体" w:cs="宋体"/>
                <w:bCs/>
                <w:kern w:val="0"/>
                <w:sz w:val="24"/>
                <w:szCs w:val="24"/>
                <w:lang w:val="en-US" w:eastAsia="zh-CN"/>
              </w:rPr>
              <w:t>开药店</w:t>
            </w:r>
            <w:r>
              <w:rPr>
                <w:rFonts w:hint="eastAsia" w:ascii="宋体" w:hAnsi="宋体" w:eastAsia="宋体" w:cs="宋体"/>
                <w:bCs/>
                <w:kern w:val="0"/>
                <w:sz w:val="24"/>
                <w:szCs w:val="24"/>
              </w:rPr>
              <w:t>“一件事”办结结果汇总接口对接、⑦</w:t>
            </w:r>
            <w:r>
              <w:rPr>
                <w:rFonts w:hint="eastAsia" w:ascii="宋体" w:hAnsi="宋体" w:eastAsia="宋体" w:cs="宋体"/>
                <w:bCs/>
                <w:kern w:val="0"/>
                <w:sz w:val="24"/>
                <w:szCs w:val="24"/>
                <w:lang w:val="en-US" w:eastAsia="zh-CN"/>
              </w:rPr>
              <w:t>开药店</w:t>
            </w:r>
            <w:r>
              <w:rPr>
                <w:rFonts w:hint="eastAsia" w:ascii="宋体" w:hAnsi="宋体" w:eastAsia="宋体" w:cs="宋体"/>
                <w:bCs/>
                <w:kern w:val="0"/>
                <w:sz w:val="24"/>
                <w:szCs w:val="24"/>
              </w:rPr>
              <w:t>“一件事”补正通知书接口对接、⑧企业申报材料反馈接口对接、⑨企业申报材料获取接口对接内容且满足本项目需求，根据投标人提供的方案进行综合评分,优秀得</w:t>
            </w:r>
            <w:r>
              <w:rPr>
                <w:rFonts w:hint="eastAsia" w:ascii="宋体" w:hAnsi="宋体" w:eastAsia="宋体" w:cs="宋体"/>
                <w:bCs/>
                <w:kern w:val="0"/>
                <w:sz w:val="24"/>
                <w:szCs w:val="24"/>
                <w:lang w:val="en-US" w:eastAsia="zh-CN"/>
              </w:rPr>
              <w:t>7-9</w:t>
            </w:r>
            <w:r>
              <w:rPr>
                <w:rFonts w:hint="eastAsia" w:ascii="宋体" w:hAnsi="宋体" w:eastAsia="宋体" w:cs="宋体"/>
                <w:bCs/>
                <w:kern w:val="0"/>
                <w:sz w:val="24"/>
                <w:szCs w:val="24"/>
              </w:rPr>
              <w:t>分，良好的得</w:t>
            </w:r>
            <w:r>
              <w:rPr>
                <w:rFonts w:hint="eastAsia" w:ascii="宋体" w:hAnsi="宋体" w:eastAsia="宋体" w:cs="宋体"/>
                <w:bCs/>
                <w:kern w:val="0"/>
                <w:sz w:val="24"/>
                <w:szCs w:val="24"/>
                <w:lang w:val="en-US" w:eastAsia="zh-CN"/>
              </w:rPr>
              <w:t>3-6</w:t>
            </w:r>
            <w:r>
              <w:rPr>
                <w:rFonts w:hint="eastAsia" w:ascii="宋体" w:hAnsi="宋体" w:eastAsia="宋体" w:cs="宋体"/>
                <w:bCs/>
                <w:kern w:val="0"/>
                <w:sz w:val="24"/>
                <w:szCs w:val="24"/>
              </w:rPr>
              <w:t>分，一般的得1</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分,差或未提供的不得分。</w:t>
            </w:r>
          </w:p>
        </w:tc>
      </w:tr>
      <w:tr>
        <w:tblPrEx>
          <w:tblCellMar>
            <w:top w:w="0" w:type="dxa"/>
            <w:left w:w="0" w:type="dxa"/>
            <w:bottom w:w="0" w:type="dxa"/>
            <w:right w:w="0" w:type="dxa"/>
          </w:tblCellMar>
        </w:tblPrEx>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项目团队</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rPr>
                <w:rFonts w:hint="eastAsia" w:ascii="宋体" w:hAnsi="宋体" w:eastAsia="宋体" w:cs="宋体"/>
                <w:bCs/>
                <w:kern w:val="0"/>
                <w:sz w:val="24"/>
                <w:szCs w:val="24"/>
                <w:lang w:val="zh-CN" w:eastAsia="zh-CN"/>
              </w:rPr>
            </w:pPr>
            <w:r>
              <w:rPr>
                <w:rFonts w:hint="eastAsia" w:ascii="宋体" w:hAnsi="宋体" w:eastAsia="宋体" w:cs="宋体"/>
                <w:bCs/>
                <w:kern w:val="0"/>
                <w:sz w:val="24"/>
                <w:szCs w:val="24"/>
              </w:rPr>
              <w:t>投标人针对本项目拟配备的项目负责人具有如下条件：</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1</w:t>
            </w:r>
            <w:r>
              <w:rPr>
                <w:rFonts w:hint="eastAsia" w:ascii="宋体" w:hAnsi="宋体" w:eastAsia="宋体" w:cs="宋体"/>
                <w:bCs/>
                <w:kern w:val="0"/>
                <w:sz w:val="24"/>
                <w:szCs w:val="24"/>
                <w:lang w:val="en-US" w:eastAsia="zh-CN"/>
              </w:rPr>
              <w:t>.</w:t>
            </w:r>
            <w:r>
              <w:rPr>
                <w:rFonts w:hint="eastAsia" w:ascii="宋体" w:hAnsi="宋体" w:eastAsia="宋体" w:cs="宋体"/>
                <w:bCs/>
                <w:kern w:val="0"/>
                <w:sz w:val="24"/>
                <w:szCs w:val="24"/>
              </w:rPr>
              <w:t>具有项目管理专业人士资格认证（PMP），得2分。</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2</w:t>
            </w:r>
            <w:r>
              <w:rPr>
                <w:rFonts w:hint="eastAsia" w:ascii="宋体" w:hAnsi="宋体" w:eastAsia="宋体" w:cs="宋体"/>
                <w:bCs/>
                <w:kern w:val="0"/>
                <w:sz w:val="24"/>
                <w:szCs w:val="24"/>
                <w:lang w:val="en-US" w:eastAsia="zh-CN"/>
              </w:rPr>
              <w:t>.</w:t>
            </w:r>
            <w:r>
              <w:rPr>
                <w:rFonts w:hint="eastAsia" w:ascii="宋体" w:hAnsi="宋体" w:eastAsia="宋体" w:cs="宋体"/>
                <w:bCs/>
                <w:kern w:val="0"/>
                <w:sz w:val="24"/>
                <w:szCs w:val="24"/>
              </w:rPr>
              <w:t>项目团队成员具有如下条件：</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（1）具有至少一名信息系统项目管理师的，得1分；</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（2）具有至少一名高级程序员的，得1分；</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）具有至少一名高级测试工程师的，得1分；</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）具有至少一名系统架构设计师的，得1分。</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注：</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1.要求提供服务于本项目的项目负责人和主要团队成员202</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年1</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月至202</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年</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 xml:space="preserve">月的社保证明及相关证明资料作为得分依据。 </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 xml:space="preserve">2.以上资料均要求提供复印件（或官方网站截图），原件备查。评分中出现无证明资料或专家无法凭所提供资料判断是否得分的情况，一律作不得分处理。 </w:t>
            </w:r>
          </w:p>
        </w:tc>
      </w:tr>
      <w:tr>
        <w:tblPrEx>
          <w:tblCellMar>
            <w:top w:w="0" w:type="dxa"/>
            <w:left w:w="0" w:type="dxa"/>
            <w:bottom w:w="0" w:type="dxa"/>
            <w:right w:w="0" w:type="dxa"/>
          </w:tblCellMar>
        </w:tblPrEx>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售后服务</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rPr>
              <w:t>投标人具有信息技术服务运行维护（ITSS）标准符合性证书得2分；对投标人提供的售后服务方案综合评审，包括项目的培训方案（含培训内容、培训人数、培训地点、培训实施时间和计划）、部署实施、故障响应时间、重大故障的应急预案和措施等情况综合评审，酌情打分，优秀的得</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分，其他由评委在0-</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 xml:space="preserve">分内酌情打分。 </w:t>
            </w:r>
          </w:p>
        </w:tc>
      </w:tr>
      <w:tr>
        <w:tblPrEx>
          <w:tblCellMar>
            <w:top w:w="0" w:type="dxa"/>
            <w:left w:w="0" w:type="dxa"/>
            <w:bottom w:w="0" w:type="dxa"/>
            <w:right w:w="0" w:type="dxa"/>
          </w:tblCellMar>
        </w:tblPrEx>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lang w:val="en-US" w:eastAsia="zh-CN"/>
              </w:rPr>
            </w:pP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公司实力</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rPr>
                <w:rFonts w:hint="eastAsia" w:ascii="宋体" w:hAnsi="宋体" w:eastAsia="宋体" w:cs="宋体"/>
                <w:bCs/>
                <w:kern w:val="0"/>
                <w:sz w:val="24"/>
                <w:szCs w:val="24"/>
              </w:rPr>
            </w:pP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投标人具有如下证书：</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（1）ISO9001质量管理体系认证证书；</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（2）ISO20000信息技术服务管理体系认证证书；</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（3）省级软件企业证书；</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（4）AAA级信用等级企业证书；</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（5）ISO27001信息安全管理体系认证证书；</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（6）信息安全服务资质认证证书（CCRC）。</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具备6项得6分，每少一项扣2分，扣完为止。</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注：投标人须提供加盖投标人公章的上述证明文件复印件。</w:t>
            </w:r>
          </w:p>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投标单位具有CMMI</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级得</w:t>
            </w:r>
            <w:r>
              <w:rPr>
                <w:rFonts w:hint="eastAsia" w:ascii="宋体" w:hAnsi="宋体" w:eastAsia="宋体" w:cs="宋体"/>
                <w:bCs/>
                <w:kern w:val="0"/>
                <w:sz w:val="24"/>
                <w:szCs w:val="24"/>
                <w:lang w:val="en-US" w:eastAsia="zh-CN"/>
              </w:rPr>
              <w:t>1</w:t>
            </w:r>
            <w:r>
              <w:rPr>
                <w:rFonts w:hint="eastAsia" w:ascii="宋体" w:hAnsi="宋体" w:eastAsia="宋体" w:cs="宋体"/>
                <w:bCs/>
                <w:kern w:val="0"/>
                <w:sz w:val="24"/>
                <w:szCs w:val="24"/>
              </w:rPr>
              <w:t>分，具有CMMI</w:t>
            </w:r>
            <w:r>
              <w:rPr>
                <w:rFonts w:hint="eastAsia" w:ascii="宋体" w:hAnsi="宋体" w:eastAsia="宋体" w:cs="宋体"/>
                <w:bCs/>
                <w:kern w:val="0"/>
                <w:sz w:val="24"/>
                <w:szCs w:val="24"/>
                <w:lang w:val="en-US" w:eastAsia="zh-CN"/>
              </w:rPr>
              <w:t>4</w:t>
            </w:r>
            <w:r>
              <w:rPr>
                <w:rFonts w:hint="eastAsia" w:ascii="宋体" w:hAnsi="宋体" w:eastAsia="宋体" w:cs="宋体"/>
                <w:bCs/>
                <w:kern w:val="0"/>
                <w:sz w:val="24"/>
                <w:szCs w:val="24"/>
              </w:rPr>
              <w:t>级得</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具有CMMI</w:t>
            </w:r>
            <w:r>
              <w:rPr>
                <w:rFonts w:hint="eastAsia" w:ascii="宋体" w:hAnsi="宋体" w:eastAsia="宋体" w:cs="宋体"/>
                <w:bCs/>
                <w:kern w:val="0"/>
                <w:sz w:val="24"/>
                <w:szCs w:val="24"/>
                <w:lang w:val="en-US" w:eastAsia="zh-CN"/>
              </w:rPr>
              <w:t>5</w:t>
            </w:r>
            <w:r>
              <w:rPr>
                <w:rFonts w:hint="eastAsia" w:ascii="宋体" w:hAnsi="宋体" w:eastAsia="宋体" w:cs="宋体"/>
                <w:bCs/>
                <w:kern w:val="0"/>
                <w:sz w:val="24"/>
                <w:szCs w:val="24"/>
              </w:rPr>
              <w:t>级得</w:t>
            </w: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分</w:t>
            </w:r>
            <w:r>
              <w:rPr>
                <w:rFonts w:hint="eastAsia" w:ascii="宋体" w:hAnsi="宋体" w:eastAsia="宋体" w:cs="宋体"/>
                <w:bCs/>
                <w:kern w:val="0"/>
                <w:sz w:val="24"/>
                <w:szCs w:val="24"/>
                <w:lang w:eastAsia="zh-CN"/>
              </w:rPr>
              <w:t>。</w:t>
            </w:r>
          </w:p>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3.</w:t>
            </w:r>
            <w:r>
              <w:rPr>
                <w:rFonts w:hint="eastAsia" w:ascii="宋体" w:hAnsi="宋体" w:eastAsia="宋体" w:cs="宋体"/>
                <w:bCs/>
                <w:kern w:val="0"/>
                <w:sz w:val="24"/>
                <w:szCs w:val="24"/>
              </w:rPr>
              <w:t>投标单位具有成熟的投标软件产品，具有</w:t>
            </w:r>
            <w:r>
              <w:rPr>
                <w:rFonts w:hint="eastAsia" w:ascii="宋体" w:hAnsi="宋体" w:eastAsia="宋体" w:cs="宋体"/>
                <w:bCs/>
                <w:kern w:val="0"/>
                <w:sz w:val="24"/>
                <w:szCs w:val="24"/>
                <w:lang w:val="en-US" w:eastAsia="zh-CN"/>
              </w:rPr>
              <w:t>一件事、</w:t>
            </w:r>
            <w:r>
              <w:rPr>
                <w:rFonts w:hint="eastAsia" w:ascii="宋体" w:hAnsi="宋体" w:eastAsia="宋体" w:cs="宋体"/>
                <w:bCs/>
                <w:kern w:val="0"/>
                <w:sz w:val="24"/>
                <w:szCs w:val="24"/>
              </w:rPr>
              <w:t>政务服务、网上办事、数据共享</w:t>
            </w:r>
            <w:r>
              <w:rPr>
                <w:rFonts w:hint="eastAsia" w:ascii="宋体" w:hAnsi="宋体" w:eastAsia="宋体" w:cs="宋体"/>
                <w:bCs/>
                <w:kern w:val="0"/>
                <w:sz w:val="24"/>
                <w:szCs w:val="24"/>
                <w:lang w:val="en-US" w:eastAsia="zh-CN"/>
              </w:rPr>
              <w:t>的</w:t>
            </w:r>
            <w:r>
              <w:rPr>
                <w:rFonts w:hint="eastAsia" w:ascii="宋体" w:hAnsi="宋体" w:eastAsia="宋体" w:cs="宋体"/>
                <w:bCs/>
                <w:kern w:val="0"/>
                <w:sz w:val="24"/>
                <w:szCs w:val="24"/>
              </w:rPr>
              <w:t>软件著作权登记证书得6分，每少一项扣2分，最低得0分。（著作权证书所列软件名称需完全包含上述名称）</w:t>
            </w:r>
            <w:r>
              <w:rPr>
                <w:rFonts w:hint="eastAsia" w:ascii="宋体" w:hAnsi="宋体" w:eastAsia="宋体" w:cs="宋体"/>
                <w:bCs/>
                <w:kern w:val="0"/>
                <w:sz w:val="24"/>
                <w:szCs w:val="24"/>
              </w:rPr>
              <w:br w:type="textWrapping"/>
            </w:r>
            <w:r>
              <w:rPr>
                <w:rFonts w:hint="eastAsia" w:ascii="宋体" w:hAnsi="宋体" w:eastAsia="宋体" w:cs="宋体"/>
                <w:bCs/>
                <w:kern w:val="0"/>
                <w:sz w:val="24"/>
                <w:szCs w:val="24"/>
              </w:rPr>
              <w:t>注：投标人须提供中华人民共和国国家版权局颁发的软件著作权登记证书作为得分依据；以上材料均要求提供扫描件，原件备查。软件著作权证书必须在本项目招标公告发布之前获得，不重复计算得分。未提供证明材料或证明材料不符合要求或专家无法凭所提供材料判断是否得分的情况，一律不得分</w:t>
            </w:r>
            <w:r>
              <w:rPr>
                <w:rFonts w:hint="eastAsia" w:ascii="宋体" w:hAnsi="宋体" w:eastAsia="宋体" w:cs="宋体"/>
                <w:bCs/>
                <w:kern w:val="0"/>
                <w:sz w:val="24"/>
                <w:szCs w:val="24"/>
                <w:lang w:eastAsia="zh-CN"/>
              </w:rPr>
              <w:t>。</w:t>
            </w:r>
          </w:p>
        </w:tc>
      </w:tr>
      <w:tr>
        <w:tblPrEx>
          <w:tblCellMar>
            <w:top w:w="0" w:type="dxa"/>
            <w:left w:w="0" w:type="dxa"/>
            <w:bottom w:w="0" w:type="dxa"/>
            <w:right w:w="0" w:type="dxa"/>
          </w:tblCellMar>
        </w:tblPrEx>
        <w:tc>
          <w:tcPr>
            <w:tcW w:w="67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lang w:val="en-US" w:eastAsia="zh-CN"/>
              </w:rPr>
            </w:pPr>
          </w:p>
        </w:tc>
        <w:tc>
          <w:tcPr>
            <w:tcW w:w="115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项目经验业绩评价</w:t>
            </w:r>
          </w:p>
        </w:tc>
        <w:tc>
          <w:tcPr>
            <w:tcW w:w="7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5492"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spacing w:line="240" w:lineRule="auto"/>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投标单位在2019年1月1日以来（以合同签订日期为准）具备与本项目采购内容类似的业绩案例，有一个得1分，最高为4分。</w:t>
            </w:r>
          </w:p>
        </w:tc>
      </w:tr>
    </w:tbl>
    <w:p>
      <w:pPr>
        <w:keepNext w:val="0"/>
        <w:keepLines w:val="0"/>
        <w:pageBreakBefore w:val="0"/>
        <w:kinsoku/>
        <w:wordWrap/>
        <w:overflowPunct/>
        <w:topLinePunct w:val="0"/>
        <w:bidi w:val="0"/>
        <w:snapToGrid w:val="0"/>
        <w:spacing w:line="240" w:lineRule="auto"/>
        <w:ind w:firstLine="600" w:firstLineChars="250"/>
        <w:contextualSpacing/>
        <w:jc w:val="left"/>
        <w:rPr>
          <w:rFonts w:hint="eastAsia" w:ascii="方正仿宋_GBK" w:hAnsi="方正仿宋_GBK" w:eastAsia="方正仿宋_GBK" w:cs="方正仿宋_GBK"/>
          <w:color w:val="000000" w:themeColor="text1"/>
          <w:sz w:val="24"/>
          <w:szCs w:val="24"/>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val="0"/>
        <w:spacing w:line="240" w:lineRule="auto"/>
        <w:ind w:firstLine="56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lang w:val="zh-CN"/>
          <w14:textFill>
            <w14:solidFill>
              <w14:schemeClr w14:val="tx1"/>
            </w14:solidFill>
          </w14:textFill>
        </w:rPr>
        <w:t>价格分</w:t>
      </w:r>
      <w:r>
        <w:rPr>
          <w:rFonts w:hint="eastAsia" w:ascii="方正仿宋_GBK" w:hAnsi="方正仿宋_GBK" w:eastAsia="方正仿宋_GBK" w:cs="方正仿宋_GBK"/>
          <w:b/>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28"/>
          <w:szCs w:val="28"/>
          <w14:textFill>
            <w14:solidFill>
              <w14:schemeClr w14:val="tx1"/>
            </w14:solidFill>
          </w14:textFill>
        </w:rPr>
        <w:t>0</w:t>
      </w:r>
      <w:r>
        <w:rPr>
          <w:rFonts w:hint="eastAsia" w:ascii="方正仿宋_GBK" w:hAnsi="方正仿宋_GBK" w:eastAsia="方正仿宋_GBK" w:cs="方正仿宋_GBK"/>
          <w:color w:val="000000" w:themeColor="text1"/>
          <w:sz w:val="28"/>
          <w:szCs w:val="28"/>
          <w:lang w:val="zh-CN"/>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综合评分法中的价格分统一采用低价优先法计算，即满足磋商文件要求且最后报价最低的供应商的价格为磋商基准价，其价格分为满分。其他供应商的价格分统一按照下列公式计算：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磋商报价得分=（磋商基准价/最后磋商报价）×价格权值×100</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项目评审过程中，不得去掉最后报价中的最高报价和最低报价。</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选项：磋商产品列入国家《节能产品政府采购清单》的，给予价格标分值3%的加分；部分列入的，视占比情况加分；否则不加分。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上述需由供应商提供佐证材料，因供应商未提供而导致不利后果的，由供应商承担。其中：所投产品部分列入环境标志、节能产品的，供应商还需提供占比情况材料</w:t>
      </w: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20"/>
        <w:keepNext w:val="0"/>
        <w:keepLines w:val="0"/>
        <w:pageBreakBefore w:val="0"/>
        <w:tabs>
          <w:tab w:val="left" w:pos="5325"/>
        </w:tabs>
        <w:wordWrap/>
        <w:overflowPunct/>
        <w:bidi w:val="0"/>
        <w:snapToGrid w:val="0"/>
        <w:spacing w:line="240" w:lineRule="auto"/>
        <w:ind w:left="641" w:firstLine="0" w:firstLineChars="0"/>
        <w:contextualSpacing/>
        <w:rPr>
          <w:rFonts w:hint="eastAsia" w:ascii="黑体" w:hAnsi="黑体" w:eastAsia="黑体" w:cs="Times New Roman"/>
          <w:sz w:val="32"/>
          <w:szCs w:val="32"/>
        </w:rPr>
      </w:pPr>
    </w:p>
    <w:p>
      <w:pPr>
        <w:pStyle w:val="10"/>
        <w:ind w:left="0" w:leftChars="0" w:firstLine="0" w:firstLineChars="0"/>
        <w:sectPr>
          <w:footerReference r:id="rId3" w:type="default"/>
          <w:pgSz w:w="11906" w:h="16838"/>
          <w:pgMar w:top="1560" w:right="1800" w:bottom="1440" w:left="1800" w:header="851" w:footer="657" w:gutter="0"/>
          <w:cols w:space="425" w:num="1"/>
          <w:docGrid w:type="lines" w:linePitch="312" w:charSpace="0"/>
        </w:sectPr>
      </w:pPr>
    </w:p>
    <w:p>
      <w:pPr>
        <w:keepNext w:val="0"/>
        <w:keepLines w:val="0"/>
        <w:pageBreakBefore w:val="0"/>
        <w:wordWrap/>
        <w:overflowPunct/>
        <w:bidi w:val="0"/>
        <w:spacing w:line="240" w:lineRule="auto"/>
        <w:rPr>
          <w:rFonts w:ascii="宋体"/>
          <w:b/>
          <w:bCs/>
          <w:sz w:val="24"/>
          <w:szCs w:val="24"/>
        </w:rPr>
      </w:pPr>
      <w:r>
        <w:rPr>
          <w:rFonts w:ascii="宋体"/>
          <w:b/>
          <w:bCs/>
          <w:sz w:val="24"/>
          <w:szCs w:val="24"/>
        </w:rPr>
        <w:t>附件</w:t>
      </w:r>
      <w:r>
        <w:rPr>
          <w:rFonts w:hint="eastAsia" w:ascii="宋体"/>
          <w:b/>
          <w:bCs/>
          <w:sz w:val="24"/>
          <w:szCs w:val="24"/>
          <w:lang w:val="en-US" w:eastAsia="zh-CN"/>
        </w:rPr>
        <w:t>1</w:t>
      </w:r>
      <w:r>
        <w:rPr>
          <w:rFonts w:hint="eastAsia" w:ascii="宋体"/>
          <w:b/>
          <w:bCs/>
          <w:sz w:val="24"/>
          <w:szCs w:val="24"/>
        </w:rPr>
        <w:t>：</w:t>
      </w:r>
    </w:p>
    <w:p>
      <w:pPr>
        <w:widowControl/>
        <w:jc w:val="center"/>
        <w:rPr>
          <w:rFonts w:ascii="仿宋" w:hAnsi="仿宋" w:eastAsia="仿宋" w:cs="宋体"/>
          <w:color w:val="000000"/>
          <w:kern w:val="0"/>
          <w:sz w:val="44"/>
          <w:szCs w:val="44"/>
        </w:rPr>
      </w:pPr>
      <w:r>
        <w:rPr>
          <w:rFonts w:hint="eastAsia" w:ascii="仿宋" w:hAnsi="仿宋" w:eastAsia="仿宋" w:cs="宋体"/>
          <w:b/>
          <w:bCs/>
          <w:color w:val="000000"/>
          <w:kern w:val="0"/>
          <w:sz w:val="44"/>
          <w:szCs w:val="44"/>
        </w:rPr>
        <w:t>采购项目报名表</w:t>
      </w:r>
    </w:p>
    <w:p>
      <w:pPr>
        <w:keepNext w:val="0"/>
        <w:keepLines w:val="0"/>
        <w:pageBreakBefore w:val="0"/>
        <w:widowControl w:val="0"/>
        <w:kinsoku/>
        <w:wordWrap/>
        <w:overflowPunct/>
        <w:topLinePunct w:val="0"/>
        <w:bidi w:val="0"/>
        <w:adjustRightInd/>
        <w:spacing w:line="240" w:lineRule="auto"/>
        <w:textAlignment w:val="auto"/>
        <w:rPr>
          <w:rFonts w:ascii="仿宋" w:hAnsi="仿宋" w:eastAsia="仿宋" w:cs="宋体"/>
          <w:color w:val="000000"/>
          <w:kern w:val="0"/>
          <w:sz w:val="24"/>
          <w:szCs w:val="28"/>
        </w:rPr>
      </w:pPr>
      <w:r>
        <w:rPr>
          <w:rFonts w:hint="eastAsia" w:ascii="仿宋" w:hAnsi="仿宋" w:eastAsia="仿宋" w:cs="宋体"/>
          <w:color w:val="000000"/>
          <w:kern w:val="0"/>
          <w:sz w:val="24"/>
          <w:szCs w:val="28"/>
        </w:rPr>
        <w:t>项目名称：</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lang w:val="en-US" w:eastAsia="zh-CN"/>
        </w:rPr>
        <w:t>南通市行政审批局“一件事”功能完善拓展项目</w:t>
      </w:r>
      <w:r>
        <w:rPr>
          <w:rFonts w:hint="eastAsia" w:ascii="仿宋" w:hAnsi="仿宋" w:eastAsia="仿宋" w:cs="宋体"/>
          <w:b/>
          <w:color w:val="000000"/>
          <w:kern w:val="0"/>
          <w:sz w:val="24"/>
          <w:szCs w:val="28"/>
        </w:rPr>
        <w:t>]</w:t>
      </w:r>
    </w:p>
    <w:tbl>
      <w:tblPr>
        <w:tblStyle w:val="11"/>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62"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jc w:val="left"/>
              <w:rPr>
                <w:rFonts w:ascii="仿宋" w:hAnsi="仿宋" w:eastAsia="仿宋" w:cs="宋体"/>
                <w:i/>
                <w:color w:val="000000"/>
                <w:kern w:val="0"/>
                <w:sz w:val="24"/>
                <w:szCs w:val="28"/>
              </w:rPr>
            </w:pPr>
            <w:r>
              <w:rPr>
                <w:rFonts w:hint="eastAsia" w:ascii="仿宋" w:hAnsi="仿宋" w:eastAsia="仿宋" w:cs="宋体"/>
                <w:b/>
                <w:color w:val="000000"/>
                <w:kern w:val="0"/>
                <w:sz w:val="24"/>
                <w:szCs w:val="28"/>
              </w:rPr>
              <w:t>投标单位（供应商）全称（公章）</w:t>
            </w:r>
            <w:r>
              <w:rPr>
                <w:rFonts w:hint="eastAsia" w:ascii="仿宋" w:hAnsi="仿宋" w:eastAsia="仿宋" w:cs="宋体"/>
                <w:color w:val="000000"/>
                <w:kern w:val="0"/>
                <w:sz w:val="24"/>
                <w:szCs w:val="28"/>
              </w:rPr>
              <w:t>：</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p>
            <w:pPr>
              <w:widowControl/>
              <w:spacing w:before="156" w:beforeLines="50" w:after="156" w:afterLines="5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统一社会信用代码：</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3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line="276" w:lineRule="auto"/>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现委托</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被授权人的姓名），报名参与南通市行政审批局组织的采购项目。项目招投标过程中答疑补充等相关文件都需投标单位在相关网站上下载，采购人会及时关注相关网站，以防遗漏，并承诺不以此为理由提出质疑。</w:t>
            </w:r>
          </w:p>
          <w:p>
            <w:pPr>
              <w:widowControl/>
              <w:spacing w:before="156" w:beforeLines="50" w:after="156" w:afterLines="50"/>
              <w:ind w:firstLine="420"/>
              <w:jc w:val="left"/>
              <w:rPr>
                <w:rFonts w:ascii="仿宋" w:hAnsi="仿宋" w:eastAsia="仿宋" w:cs="宋体"/>
                <w:b/>
                <w:color w:val="000000"/>
                <w:kern w:val="0"/>
                <w:sz w:val="24"/>
                <w:szCs w:val="28"/>
              </w:rPr>
            </w:pPr>
            <w:r>
              <w:rPr>
                <w:rFonts w:hint="eastAsia" w:ascii="仿宋" w:hAnsi="仿宋" w:eastAsia="仿宋" w:cs="宋体"/>
                <w:b/>
                <w:color w:val="000000"/>
                <w:kern w:val="0"/>
                <w:sz w:val="24"/>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被授权人姓名：</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联系电话：</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二代身份证号码：</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电子邮箱：</w:t>
            </w: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报名时间：</w:t>
            </w:r>
          </w:p>
          <w:p>
            <w:pPr>
              <w:widowControl/>
              <w:spacing w:before="156" w:beforeLines="50" w:after="156" w:afterLines="50"/>
              <w:ind w:firstLine="723" w:firstLineChars="300"/>
              <w:jc w:val="left"/>
              <w:rPr>
                <w:rFonts w:ascii="仿宋" w:hAnsi="仿宋" w:eastAsia="仿宋" w:cs="宋体"/>
                <w:color w:val="000000"/>
                <w:kern w:val="0"/>
                <w:sz w:val="24"/>
                <w:szCs w:val="28"/>
              </w:rPr>
            </w:pPr>
            <w:r>
              <w:rPr>
                <w:rFonts w:hint="eastAsia" w:ascii="仿宋" w:hAnsi="仿宋" w:eastAsia="仿宋" w:cs="宋体"/>
                <w:b/>
                <w:color w:val="000000"/>
                <w:kern w:val="0"/>
                <w:sz w:val="24"/>
                <w:szCs w:val="28"/>
              </w:rPr>
              <w:t>[</w:t>
            </w:r>
            <w:r>
              <w:rPr>
                <w:rFonts w:hint="eastAsia" w:ascii="仿宋" w:hAnsi="仿宋" w:eastAsia="仿宋" w:cs="宋体"/>
                <w:color w:val="000000"/>
                <w:kern w:val="0"/>
                <w:sz w:val="24"/>
                <w:szCs w:val="28"/>
              </w:rPr>
              <w:t xml:space="preserve">         年    月    日</w:t>
            </w:r>
            <w:r>
              <w:rPr>
                <w:rFonts w:hint="eastAsia" w:ascii="仿宋" w:hAnsi="仿宋" w:eastAsia="仿宋" w:cs="宋体"/>
                <w:b/>
                <w:color w:val="000000"/>
                <w:kern w:val="0"/>
                <w:sz w:val="24"/>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tcMar>
              <w:top w:w="57" w:type="dxa"/>
              <w:left w:w="85" w:type="dxa"/>
              <w:bottom w:w="57" w:type="dxa"/>
              <w:right w:w="85" w:type="dxa"/>
            </w:tcMar>
            <w:vAlign w:val="center"/>
          </w:tcPr>
          <w:p>
            <w:pPr>
              <w:widowControl/>
              <w:spacing w:before="156" w:beforeLines="50" w:after="156" w:afterLines="50"/>
              <w:ind w:firstLine="420"/>
              <w:jc w:val="left"/>
              <w:rPr>
                <w:rFonts w:ascii="仿宋" w:hAnsi="仿宋" w:eastAsia="仿宋" w:cs="宋体"/>
                <w:color w:val="000000"/>
                <w:kern w:val="0"/>
                <w:sz w:val="24"/>
                <w:szCs w:val="28"/>
              </w:rPr>
            </w:pPr>
            <w:r>
              <w:rPr>
                <w:rFonts w:hint="eastAsia" w:ascii="仿宋" w:hAnsi="仿宋" w:eastAsia="仿宋" w:cs="宋体"/>
                <w:color w:val="000000"/>
                <w:kern w:val="0"/>
                <w:sz w:val="24"/>
                <w:szCs w:val="28"/>
              </w:rPr>
              <w:t>被授权人签字：</w:t>
            </w:r>
          </w:p>
        </w:tc>
      </w:tr>
    </w:tbl>
    <w:p>
      <w:pPr>
        <w:rPr>
          <w:rFonts w:hint="eastAsia" w:ascii="仿宋" w:hAnsi="仿宋" w:eastAsia="仿宋" w:cs="宋体"/>
          <w:b/>
          <w:bCs/>
          <w:color w:val="000000"/>
          <w:kern w:val="0"/>
          <w:sz w:val="24"/>
          <w:szCs w:val="28"/>
          <w:lang w:eastAsia="zh-CN"/>
        </w:rPr>
      </w:pPr>
      <w:r>
        <w:rPr>
          <w:rFonts w:hint="eastAsia" w:ascii="仿宋" w:hAnsi="仿宋" w:eastAsia="仿宋" w:cs="宋体"/>
          <w:b/>
          <w:bCs/>
          <w:color w:val="000000"/>
          <w:kern w:val="0"/>
          <w:sz w:val="24"/>
          <w:szCs w:val="28"/>
        </w:rPr>
        <w:t>*注：本表以上[  ]内容均需</w:t>
      </w:r>
      <w:r>
        <w:rPr>
          <w:rFonts w:hint="eastAsia" w:ascii="仿宋" w:hAnsi="仿宋" w:eastAsia="仿宋" w:cs="宋体"/>
          <w:b/>
          <w:bCs/>
          <w:color w:val="000000"/>
          <w:kern w:val="0"/>
          <w:sz w:val="24"/>
          <w:szCs w:val="28"/>
          <w:lang w:val="en-US" w:eastAsia="zh-CN"/>
        </w:rPr>
        <w:t>填写</w:t>
      </w:r>
      <w:r>
        <w:rPr>
          <w:rFonts w:hint="eastAsia" w:ascii="仿宋" w:hAnsi="仿宋" w:eastAsia="仿宋" w:cs="宋体"/>
          <w:b/>
          <w:bCs/>
          <w:color w:val="000000"/>
          <w:kern w:val="0"/>
          <w:sz w:val="24"/>
          <w:szCs w:val="28"/>
        </w:rPr>
        <w:t>，投标单位应完整填写表格并加盖公章，并对内容的真实性和有效性负全部责任</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rPr>
        <w:t>扫描件发送采购人指定邮箱</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rPr>
        <w:t>邮件主题“项目名称</w:t>
      </w:r>
      <w:r>
        <w:rPr>
          <w:rFonts w:hint="eastAsia" w:ascii="仿宋" w:hAnsi="仿宋" w:eastAsia="仿宋" w:cs="宋体"/>
          <w:b/>
          <w:bCs/>
          <w:color w:val="000000"/>
          <w:kern w:val="0"/>
          <w:sz w:val="24"/>
          <w:szCs w:val="28"/>
          <w:lang w:val="en-US" w:eastAsia="zh-CN"/>
        </w:rPr>
        <w:t>-”</w:t>
      </w:r>
      <w:r>
        <w:rPr>
          <w:rFonts w:hint="eastAsia" w:ascii="仿宋" w:hAnsi="仿宋" w:eastAsia="仿宋" w:cs="宋体"/>
          <w:b/>
          <w:bCs/>
          <w:color w:val="000000"/>
          <w:kern w:val="0"/>
          <w:sz w:val="24"/>
          <w:szCs w:val="28"/>
        </w:rPr>
        <w:t>+</w:t>
      </w:r>
      <w:r>
        <w:rPr>
          <w:rFonts w:hint="eastAsia" w:ascii="仿宋" w:hAnsi="仿宋" w:eastAsia="仿宋" w:cs="宋体"/>
          <w:b/>
          <w:bCs/>
          <w:color w:val="000000"/>
          <w:kern w:val="0"/>
          <w:sz w:val="24"/>
          <w:szCs w:val="28"/>
          <w:lang w:val="en-US" w:eastAsia="zh-CN"/>
        </w:rPr>
        <w:t>“</w:t>
      </w:r>
      <w:r>
        <w:rPr>
          <w:rFonts w:hint="eastAsia" w:ascii="仿宋" w:hAnsi="仿宋" w:eastAsia="仿宋" w:cs="宋体"/>
          <w:b/>
          <w:bCs/>
          <w:color w:val="000000"/>
          <w:kern w:val="0"/>
          <w:sz w:val="24"/>
          <w:szCs w:val="28"/>
        </w:rPr>
        <w:t>公司名称”</w:t>
      </w:r>
      <w:r>
        <w:rPr>
          <w:rFonts w:hint="eastAsia" w:ascii="仿宋" w:hAnsi="仿宋" w:eastAsia="仿宋" w:cs="宋体"/>
          <w:b/>
          <w:bCs/>
          <w:color w:val="000000"/>
          <w:kern w:val="0"/>
          <w:sz w:val="24"/>
          <w:szCs w:val="28"/>
          <w:lang w:eastAsia="zh-CN"/>
        </w:rPr>
        <w:t>，</w:t>
      </w:r>
      <w:r>
        <w:rPr>
          <w:rFonts w:hint="eastAsia" w:ascii="仿宋" w:hAnsi="仿宋" w:eastAsia="仿宋" w:cs="宋体"/>
          <w:b/>
          <w:bCs/>
          <w:color w:val="000000"/>
          <w:kern w:val="0"/>
          <w:sz w:val="24"/>
          <w:szCs w:val="28"/>
          <w:lang w:val="en-US" w:eastAsia="zh-CN"/>
        </w:rPr>
        <w:t>报名表原件请在开标时随投标材料一并提交</w:t>
      </w:r>
      <w:r>
        <w:rPr>
          <w:rFonts w:hint="eastAsia" w:ascii="仿宋" w:hAnsi="仿宋" w:eastAsia="仿宋" w:cs="宋体"/>
          <w:b/>
          <w:bCs/>
          <w:color w:val="000000"/>
          <w:kern w:val="0"/>
          <w:sz w:val="24"/>
          <w:szCs w:val="28"/>
          <w:lang w:eastAsia="zh-CN"/>
        </w:rPr>
        <w:t>。</w:t>
      </w:r>
    </w:p>
    <w:p>
      <w:pPr>
        <w:rPr>
          <w:rFonts w:ascii="宋体"/>
          <w:b/>
          <w:bCs/>
          <w:sz w:val="24"/>
          <w:szCs w:val="24"/>
        </w:rPr>
        <w:sectPr>
          <w:pgSz w:w="11906" w:h="16838"/>
          <w:pgMar w:top="1560" w:right="1800" w:bottom="1440" w:left="1800" w:header="851" w:footer="657" w:gutter="0"/>
          <w:pgNumType w:fmt="decimal"/>
          <w:cols w:space="425" w:num="1"/>
          <w:docGrid w:type="lines" w:linePitch="312" w:charSpace="0"/>
        </w:sectPr>
      </w:pPr>
    </w:p>
    <w:p>
      <w:pPr>
        <w:keepNext w:val="0"/>
        <w:keepLines w:val="0"/>
        <w:pageBreakBefore w:val="0"/>
        <w:wordWrap/>
        <w:overflowPunct/>
        <w:bidi w:val="0"/>
        <w:spacing w:line="240" w:lineRule="auto"/>
        <w:rPr>
          <w:rFonts w:ascii="宋体" w:hAnsi="Calibri" w:eastAsia="宋体" w:cs="Times New Roman"/>
          <w:b/>
          <w:bCs/>
          <w:sz w:val="24"/>
          <w:szCs w:val="24"/>
        </w:rPr>
      </w:pPr>
      <w:r>
        <w:rPr>
          <w:rFonts w:ascii="宋体"/>
          <w:b/>
          <w:bCs/>
          <w:sz w:val="24"/>
          <w:szCs w:val="24"/>
        </w:rPr>
        <w:t>附件</w:t>
      </w:r>
      <w:r>
        <w:rPr>
          <w:rFonts w:hint="eastAsia" w:ascii="宋体"/>
          <w:b/>
          <w:bCs/>
          <w:sz w:val="24"/>
          <w:szCs w:val="24"/>
          <w:lang w:val="en-US" w:eastAsia="zh-CN"/>
        </w:rPr>
        <w:t>2</w:t>
      </w:r>
      <w:r>
        <w:rPr>
          <w:rFonts w:hint="eastAsia" w:ascii="宋体"/>
          <w:b/>
          <w:bCs/>
          <w:sz w:val="24"/>
          <w:szCs w:val="24"/>
        </w:rPr>
        <w:t>：</w:t>
      </w:r>
    </w:p>
    <w:p>
      <w:pPr>
        <w:keepNext w:val="0"/>
        <w:keepLines w:val="0"/>
        <w:pageBreakBefore w:val="0"/>
        <w:wordWrap/>
        <w:overflowPunct/>
        <w:bidi w:val="0"/>
        <w:spacing w:line="240" w:lineRule="auto"/>
        <w:rPr>
          <w:rFonts w:ascii="宋体" w:hAnsi="Calibri" w:eastAsia="宋体" w:cs="Times New Roman"/>
          <w:sz w:val="24"/>
        </w:rPr>
      </w:pPr>
    </w:p>
    <w:p>
      <w:pPr>
        <w:keepNext w:val="0"/>
        <w:keepLines w:val="0"/>
        <w:pageBreakBefore w:val="0"/>
        <w:wordWrap/>
        <w:overflowPunct/>
        <w:bidi w:val="0"/>
        <w:spacing w:line="240" w:lineRule="auto"/>
        <w:jc w:val="center"/>
        <w:rPr>
          <w:rFonts w:hint="eastAsia" w:ascii="宋体" w:hAnsi="宋体" w:eastAsia="宋体" w:cs="Times New Roman"/>
          <w:b/>
          <w:bCs/>
          <w:sz w:val="36"/>
          <w:szCs w:val="36"/>
        </w:rPr>
      </w:pPr>
      <w:r>
        <w:rPr>
          <w:rFonts w:hint="eastAsia" w:ascii="宋体" w:hAnsi="宋体" w:eastAsia="宋体" w:cs="Times New Roman"/>
          <w:b/>
          <w:bCs/>
          <w:sz w:val="36"/>
          <w:szCs w:val="36"/>
          <w:lang w:val="zh-CN" w:eastAsia="zh-CN"/>
        </w:rPr>
        <w:t>投标承诺函</w:t>
      </w:r>
    </w:p>
    <w:p>
      <w:pPr>
        <w:keepNext w:val="0"/>
        <w:keepLines w:val="0"/>
        <w:pageBreakBefore w:val="0"/>
        <w:widowControl w:val="0"/>
        <w:kinsoku/>
        <w:wordWrap/>
        <w:overflowPunct/>
        <w:topLinePunct w:val="0"/>
        <w:autoSpaceDE/>
        <w:autoSpaceDN/>
        <w:bidi w:val="0"/>
        <w:adjustRightInd/>
        <w:spacing w:line="52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南通市行政审批局：</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20" w:lineRule="exact"/>
        <w:ind w:firstLine="56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SA"/>
        </w:rPr>
        <w:t>贵方组</w:t>
      </w:r>
      <w:r>
        <w:rPr>
          <w:rFonts w:hint="eastAsia" w:ascii="方正仿宋_GBK" w:hAnsi="方正仿宋_GBK" w:eastAsia="方正仿宋_GBK" w:cs="方正仿宋_GBK"/>
          <w:sz w:val="32"/>
          <w:szCs w:val="32"/>
          <w:lang w:val="en-US" w:eastAsia="zh-CN"/>
        </w:rPr>
        <w:t>织的南通市行政审批局“一件事”功能完善拓展项目，</w:t>
      </w:r>
      <w:r>
        <w:rPr>
          <w:rFonts w:hint="eastAsia" w:ascii="方正仿宋_GBK" w:hAnsi="方正仿宋_GBK" w:eastAsia="方正仿宋_GBK" w:cs="方正仿宋_GBK"/>
          <w:sz w:val="32"/>
          <w:szCs w:val="32"/>
        </w:rPr>
        <w:t>我单位所提交的材料均为真实的，且能</w:t>
      </w:r>
      <w:r>
        <w:rPr>
          <w:rFonts w:hint="eastAsia" w:ascii="方正仿宋_GBK" w:hAnsi="方正仿宋_GBK" w:eastAsia="方正仿宋_GBK" w:cs="方正仿宋_GBK"/>
          <w:sz w:val="32"/>
          <w:szCs w:val="32"/>
          <w:lang w:val="en-US" w:eastAsia="zh-CN"/>
        </w:rPr>
        <w:t>实现</w:t>
      </w:r>
      <w:r>
        <w:rPr>
          <w:rFonts w:hint="eastAsia" w:ascii="方正仿宋_GBK" w:hAnsi="方正仿宋_GBK" w:eastAsia="方正仿宋_GBK" w:cs="方正仿宋_GBK"/>
          <w:sz w:val="32"/>
          <w:szCs w:val="32"/>
        </w:rPr>
        <w:t>满足供应要求的</w:t>
      </w:r>
      <w:r>
        <w:rPr>
          <w:rFonts w:hint="eastAsia" w:ascii="方正仿宋_GBK" w:hAnsi="方正仿宋_GBK" w:eastAsia="方正仿宋_GBK" w:cs="方正仿宋_GBK"/>
          <w:sz w:val="32"/>
          <w:szCs w:val="32"/>
          <w:lang w:val="en-US" w:eastAsia="zh-CN"/>
        </w:rPr>
        <w:t>功能建设</w:t>
      </w:r>
      <w:r>
        <w:rPr>
          <w:rFonts w:hint="eastAsia" w:ascii="方正仿宋_GBK" w:hAnsi="方正仿宋_GBK" w:eastAsia="方正仿宋_GBK" w:cs="方正仿宋_GBK"/>
          <w:sz w:val="32"/>
          <w:szCs w:val="32"/>
        </w:rPr>
        <w:t>。</w:t>
      </w:r>
    </w:p>
    <w:p>
      <w:pPr>
        <w:pStyle w:val="10"/>
        <w:keepNext w:val="0"/>
        <w:keepLines w:val="0"/>
        <w:pageBreakBefore w:val="0"/>
        <w:wordWrap/>
        <w:overflowPunct/>
        <w:bidi w:val="0"/>
        <w:spacing w:after="0" w:line="240" w:lineRule="auto"/>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keepNext w:val="0"/>
        <w:keepLines w:val="0"/>
        <w:pageBreakBefore w:val="0"/>
        <w:wordWrap/>
        <w:overflowPunct/>
        <w:bidi w:val="0"/>
        <w:spacing w:line="240" w:lineRule="auto"/>
        <w:ind w:firstLine="56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bookmarkEnd w:id="34"/>
    </w:p>
    <w:p>
      <w:pPr>
        <w:pStyle w:val="10"/>
        <w:rPr>
          <w:rFonts w:hint="eastAsia" w:ascii="方正仿宋_GBK" w:hAnsi="方正仿宋_GBK" w:eastAsia="方正仿宋_GBK" w:cs="方正仿宋_GBK"/>
          <w:sz w:val="32"/>
          <w:szCs w:val="32"/>
        </w:rPr>
      </w:pPr>
    </w:p>
    <w:p>
      <w:pPr>
        <w:pStyle w:val="10"/>
        <w:rPr>
          <w:rFonts w:hint="eastAsia" w:ascii="方正仿宋_GBK" w:hAnsi="方正仿宋_GBK" w:eastAsia="方正仿宋_GBK" w:cs="方正仿宋_GBK"/>
          <w:sz w:val="32"/>
          <w:szCs w:val="32"/>
        </w:rPr>
      </w:pPr>
    </w:p>
    <w:p>
      <w:pPr>
        <w:pStyle w:val="10"/>
        <w:rPr>
          <w:rFonts w:hint="eastAsia" w:ascii="方正仿宋_GBK" w:hAnsi="方正仿宋_GBK" w:eastAsia="方正仿宋_GBK" w:cs="方正仿宋_GBK"/>
          <w:sz w:val="32"/>
          <w:szCs w:val="32"/>
        </w:rPr>
      </w:pPr>
    </w:p>
    <w:p>
      <w:pPr>
        <w:pStyle w:val="10"/>
        <w:rPr>
          <w:rFonts w:hint="eastAsia" w:ascii="方正仿宋_GBK" w:hAnsi="方正仿宋_GBK" w:eastAsia="方正仿宋_GBK" w:cs="方正仿宋_GBK"/>
          <w:sz w:val="32"/>
          <w:szCs w:val="32"/>
        </w:rPr>
      </w:pPr>
    </w:p>
    <w:p>
      <w:pPr>
        <w:pStyle w:val="10"/>
        <w:rPr>
          <w:rFonts w:hint="eastAsia" w:ascii="方正仿宋_GBK" w:hAnsi="方正仿宋_GBK" w:eastAsia="方正仿宋_GBK" w:cs="方正仿宋_GBK"/>
          <w:sz w:val="32"/>
          <w:szCs w:val="32"/>
        </w:rPr>
      </w:pPr>
    </w:p>
    <w:p>
      <w:pPr>
        <w:keepNext w:val="0"/>
        <w:keepLines w:val="0"/>
        <w:pageBreakBefore w:val="0"/>
        <w:wordWrap/>
        <w:overflowPunct/>
        <w:bidi w:val="0"/>
        <w:spacing w:line="240" w:lineRule="auto"/>
        <w:rPr>
          <w:rFonts w:ascii="宋体"/>
          <w:b/>
          <w:bCs/>
          <w:sz w:val="24"/>
          <w:szCs w:val="24"/>
        </w:rPr>
        <w:sectPr>
          <w:pgSz w:w="11906" w:h="16838"/>
          <w:pgMar w:top="1560" w:right="1800" w:bottom="1440" w:left="1800" w:header="851" w:footer="657" w:gutter="0"/>
          <w:cols w:space="425" w:num="1"/>
          <w:docGrid w:type="lines" w:linePitch="312" w:charSpace="0"/>
        </w:sectPr>
      </w:pPr>
    </w:p>
    <w:p>
      <w:pPr>
        <w:keepNext w:val="0"/>
        <w:keepLines w:val="0"/>
        <w:pageBreakBefore w:val="0"/>
        <w:wordWrap/>
        <w:overflowPunct/>
        <w:bidi w:val="0"/>
        <w:spacing w:line="240" w:lineRule="auto"/>
        <w:rPr>
          <w:rFonts w:hint="eastAsia" w:ascii="宋体"/>
          <w:b/>
          <w:bCs/>
          <w:sz w:val="24"/>
          <w:szCs w:val="24"/>
        </w:rPr>
      </w:pPr>
      <w:r>
        <w:rPr>
          <w:rFonts w:ascii="宋体"/>
          <w:b/>
          <w:bCs/>
          <w:sz w:val="24"/>
          <w:szCs w:val="24"/>
        </w:rPr>
        <w:t>附件</w:t>
      </w:r>
      <w:r>
        <w:rPr>
          <w:rFonts w:hint="eastAsia" w:ascii="宋体"/>
          <w:b/>
          <w:bCs/>
          <w:sz w:val="24"/>
          <w:szCs w:val="24"/>
          <w:lang w:val="en-US" w:eastAsia="zh-CN"/>
        </w:rPr>
        <w:t>3</w:t>
      </w:r>
      <w:r>
        <w:rPr>
          <w:rFonts w:hint="eastAsia" w:ascii="宋体"/>
          <w:b/>
          <w:bCs/>
          <w:sz w:val="24"/>
          <w:szCs w:val="24"/>
        </w:rPr>
        <w:t>：</w:t>
      </w:r>
    </w:p>
    <w:p>
      <w:pPr>
        <w:keepNext w:val="0"/>
        <w:keepLines w:val="0"/>
        <w:pageBreakBefore w:val="0"/>
        <w:widowControl w:val="0"/>
        <w:kinsoku/>
        <w:wordWrap/>
        <w:overflowPunct/>
        <w:topLinePunct w:val="0"/>
        <w:bidi w:val="0"/>
        <w:snapToGrid w:val="0"/>
        <w:spacing w:line="240" w:lineRule="auto"/>
        <w:jc w:val="center"/>
        <w:textAlignment w:val="auto"/>
        <w:rPr>
          <w:rFonts w:hint="eastAsia" w:ascii="方正小标宋_GBK" w:hAnsi="方正小标宋_GBK" w:eastAsia="方正小标宋_GBK" w:cs="方正小标宋_GBK"/>
          <w:kern w:val="2"/>
          <w:sz w:val="44"/>
          <w:szCs w:val="44"/>
          <w:lang w:val="zh-CN" w:eastAsia="zh-CN" w:bidi="ar-SA"/>
        </w:rPr>
      </w:pPr>
      <w:r>
        <w:rPr>
          <w:rFonts w:hint="eastAsia" w:ascii="方正小标宋_GBK" w:hAnsi="方正小标宋_GBK" w:eastAsia="方正小标宋_GBK" w:cs="方正小标宋_GBK"/>
          <w:kern w:val="2"/>
          <w:sz w:val="44"/>
          <w:szCs w:val="44"/>
          <w:lang w:val="zh-CN" w:eastAsia="zh-CN" w:bidi="ar-SA"/>
        </w:rPr>
        <w:t>磋商响应报价表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rPr>
        <w:t>项目名称：</w:t>
      </w:r>
    </w:p>
    <w:tbl>
      <w:tblPr>
        <w:tblStyle w:val="11"/>
        <w:tblW w:w="8291" w:type="dxa"/>
        <w:tblCellSpacing w:w="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6"/>
        <w:gridCol w:w="1290"/>
        <w:gridCol w:w="481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i w:val="0"/>
                <w:iCs w:val="0"/>
                <w:caps w:val="0"/>
                <w:color w:val="333333"/>
                <w:spacing w:val="0"/>
                <w:sz w:val="28"/>
                <w:szCs w:val="28"/>
                <w:lang w:val="en-US" w:eastAsia="zh-CN"/>
              </w:rPr>
              <w:t>投标</w:t>
            </w:r>
            <w:r>
              <w:rPr>
                <w:rFonts w:hint="eastAsia" w:ascii="方正仿宋_GBK" w:hAnsi="方正仿宋_GBK" w:eastAsia="方正仿宋_GBK" w:cs="方正仿宋_GBK"/>
                <w:i w:val="0"/>
                <w:iCs w:val="0"/>
                <w:caps w:val="0"/>
                <w:color w:val="333333"/>
                <w:spacing w:val="0"/>
                <w:sz w:val="28"/>
                <w:szCs w:val="28"/>
              </w:rPr>
              <w:t>人</w:t>
            </w:r>
            <w:r>
              <w:rPr>
                <w:rFonts w:hint="eastAsia" w:ascii="方正仿宋_GBK" w:hAnsi="方正仿宋_GBK" w:eastAsia="方正仿宋_GBK" w:cs="方正仿宋_GBK"/>
                <w:i w:val="0"/>
                <w:iCs w:val="0"/>
                <w:caps w:val="0"/>
                <w:color w:val="333333"/>
                <w:spacing w:val="0"/>
                <w:sz w:val="28"/>
                <w:szCs w:val="28"/>
                <w:lang w:val="en-US" w:eastAsia="zh-CN"/>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大写（人民币）：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方正仿宋_GBK" w:hAnsi="方正仿宋_GBK" w:eastAsia="方正仿宋_GBK" w:cs="方正仿宋_GBK"/>
                <w:i w:val="0"/>
                <w:iCs w:val="0"/>
                <w:caps w:val="0"/>
                <w:color w:val="333333"/>
                <w:spacing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大写（人民币）：</w:t>
            </w:r>
          </w:p>
          <w:p>
            <w:pPr>
              <w:pStyle w:val="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line="525" w:lineRule="atLeast"/>
              <w:ind w:right="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333333"/>
                <w:spacing w:val="0"/>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wordWrap w:val="0"/>
              <w:spacing w:before="0" w:beforeAutospacing="0" w:after="0" w:afterAutospacing="0"/>
              <w:ind w:left="0" w:right="0" w:firstLine="0"/>
              <w:jc w:val="left"/>
              <w:rPr>
                <w:rFonts w:hint="eastAsia" w:ascii="方正仿宋_GBK" w:hAnsi="方正仿宋_GBK" w:eastAsia="方正仿宋_GBK" w:cs="方正仿宋_GBK"/>
                <w:i w:val="0"/>
                <w:iCs w:val="0"/>
                <w:caps w:val="0"/>
                <w:color w:val="333333"/>
                <w:spacing w:val="0"/>
                <w:sz w:val="28"/>
                <w:szCs w:val="28"/>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lang w:val="en-US" w:eastAsia="zh-CN"/>
        </w:rPr>
        <w:t>投标单位</w:t>
      </w:r>
      <w:r>
        <w:rPr>
          <w:rFonts w:hint="eastAsia" w:ascii="方正仿宋_GBK" w:hAnsi="方正仿宋_GBK" w:eastAsia="方正仿宋_GBK" w:cs="方正仿宋_GBK"/>
          <w:i w:val="0"/>
          <w:iCs w:val="0"/>
          <w:caps w:val="0"/>
          <w:color w:val="333333"/>
          <w:spacing w:val="0"/>
          <w:sz w:val="28"/>
          <w:szCs w:val="28"/>
          <w:shd w:val="clear" w:fill="FFFFFF"/>
        </w:rPr>
        <w:t>：（盖章）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rPr>
        <w:t>日</w:t>
      </w:r>
      <w:r>
        <w:rPr>
          <w:rFonts w:hint="eastAsia" w:ascii="方正仿宋_GBK" w:hAnsi="方正仿宋_GBK" w:eastAsia="方正仿宋_GBK" w:cs="方正仿宋_GBK"/>
          <w:i w:val="0"/>
          <w:iCs w:val="0"/>
          <w:caps w:val="0"/>
          <w:color w:val="333333"/>
          <w:spacing w:val="0"/>
          <w:sz w:val="28"/>
          <w:szCs w:val="28"/>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28"/>
          <w:szCs w:val="28"/>
          <w:shd w:val="clear" w:fill="FFFFFF"/>
        </w:rPr>
        <w:t>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微软雅黑" w:hAnsi="微软雅黑" w:eastAsia="微软雅黑" w:cs="微软雅黑"/>
          <w:i w:val="0"/>
          <w:iCs w:val="0"/>
          <w:caps w:val="0"/>
          <w:color w:val="333333"/>
          <w:spacing w:val="0"/>
          <w:sz w:val="27"/>
          <w:szCs w:val="27"/>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525" w:lineRule="atLeast"/>
        <w:ind w:left="0" w:right="0" w:firstLine="420"/>
        <w:jc w:val="left"/>
        <w:rPr>
          <w:rFonts w:hint="eastAsia" w:ascii="方正仿宋_GBK" w:hAnsi="方正仿宋_GBK" w:eastAsia="方正仿宋_GBK" w:cs="方正仿宋_GBK"/>
          <w:i w:val="0"/>
          <w:iCs w:val="0"/>
          <w:caps w:val="0"/>
          <w:color w:val="333333"/>
          <w:spacing w:val="0"/>
          <w:sz w:val="28"/>
          <w:szCs w:val="28"/>
          <w:shd w:val="clear" w:fill="FFFFFF"/>
          <w:lang w:val="en-US" w:eastAsia="zh-CN"/>
        </w:rPr>
      </w:pPr>
      <w:r>
        <w:rPr>
          <w:rFonts w:hint="eastAsia" w:ascii="方正仿宋_GBK" w:hAnsi="方正仿宋_GBK" w:eastAsia="方正仿宋_GBK" w:cs="方正仿宋_GBK"/>
          <w:i w:val="0"/>
          <w:iCs w:val="0"/>
          <w:caps w:val="0"/>
          <w:color w:val="333333"/>
          <w:spacing w:val="0"/>
          <w:sz w:val="28"/>
          <w:szCs w:val="28"/>
          <w:shd w:val="clear" w:fill="FFFFFF"/>
          <w:lang w:val="en-US" w:eastAsia="zh-CN"/>
        </w:rPr>
        <w:t>注：第二次报价在开标现场填写，磋商响应文件密封提交时只需填写首次磋商报价。</w:t>
      </w:r>
    </w:p>
    <w:sectPr>
      <w:pgSz w:w="11906" w:h="16838"/>
      <w:pgMar w:top="1560" w:right="1800" w:bottom="1440"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NTVhZDYyYWVjOGRkOTgzMjAwMDZjZTE0ZDZmZmMifQ=="/>
  </w:docVars>
  <w:rsids>
    <w:rsidRoot w:val="007661A4"/>
    <w:rsid w:val="0003088A"/>
    <w:rsid w:val="00063538"/>
    <w:rsid w:val="00076635"/>
    <w:rsid w:val="000975A2"/>
    <w:rsid w:val="000A44B1"/>
    <w:rsid w:val="000E1297"/>
    <w:rsid w:val="000F5FD0"/>
    <w:rsid w:val="00142AD5"/>
    <w:rsid w:val="00151E3F"/>
    <w:rsid w:val="00155B7B"/>
    <w:rsid w:val="001561C7"/>
    <w:rsid w:val="00157275"/>
    <w:rsid w:val="0016302E"/>
    <w:rsid w:val="001704CA"/>
    <w:rsid w:val="00173619"/>
    <w:rsid w:val="00174E19"/>
    <w:rsid w:val="001A2970"/>
    <w:rsid w:val="001A2B8F"/>
    <w:rsid w:val="001A6E57"/>
    <w:rsid w:val="002108F4"/>
    <w:rsid w:val="00251CA5"/>
    <w:rsid w:val="002613C4"/>
    <w:rsid w:val="002843F3"/>
    <w:rsid w:val="002A2B26"/>
    <w:rsid w:val="002A3026"/>
    <w:rsid w:val="002B24A1"/>
    <w:rsid w:val="002B3B40"/>
    <w:rsid w:val="002B47CE"/>
    <w:rsid w:val="002F2018"/>
    <w:rsid w:val="002F620E"/>
    <w:rsid w:val="00311F3E"/>
    <w:rsid w:val="00335B64"/>
    <w:rsid w:val="00366189"/>
    <w:rsid w:val="00381DBA"/>
    <w:rsid w:val="00393CD5"/>
    <w:rsid w:val="003B127A"/>
    <w:rsid w:val="003B50DE"/>
    <w:rsid w:val="003D6783"/>
    <w:rsid w:val="003F37DE"/>
    <w:rsid w:val="004033B7"/>
    <w:rsid w:val="00425D03"/>
    <w:rsid w:val="00427288"/>
    <w:rsid w:val="004474F9"/>
    <w:rsid w:val="004565E0"/>
    <w:rsid w:val="00480B71"/>
    <w:rsid w:val="004822D1"/>
    <w:rsid w:val="00482C79"/>
    <w:rsid w:val="00507074"/>
    <w:rsid w:val="00515913"/>
    <w:rsid w:val="005431FF"/>
    <w:rsid w:val="00565C8F"/>
    <w:rsid w:val="005B0960"/>
    <w:rsid w:val="005D40FE"/>
    <w:rsid w:val="005E3342"/>
    <w:rsid w:val="006135A4"/>
    <w:rsid w:val="00643047"/>
    <w:rsid w:val="00652BF8"/>
    <w:rsid w:val="006A381D"/>
    <w:rsid w:val="006C071D"/>
    <w:rsid w:val="006C7F22"/>
    <w:rsid w:val="006D32E9"/>
    <w:rsid w:val="00701AC2"/>
    <w:rsid w:val="00720CCB"/>
    <w:rsid w:val="00736852"/>
    <w:rsid w:val="007463DF"/>
    <w:rsid w:val="007661A4"/>
    <w:rsid w:val="007666CE"/>
    <w:rsid w:val="0076673B"/>
    <w:rsid w:val="007759E6"/>
    <w:rsid w:val="00784AB2"/>
    <w:rsid w:val="007C5A5D"/>
    <w:rsid w:val="007C6A1D"/>
    <w:rsid w:val="008005E6"/>
    <w:rsid w:val="00822A80"/>
    <w:rsid w:val="00870F88"/>
    <w:rsid w:val="008A3513"/>
    <w:rsid w:val="008A651A"/>
    <w:rsid w:val="008D1B33"/>
    <w:rsid w:val="008D5553"/>
    <w:rsid w:val="00900BB9"/>
    <w:rsid w:val="00901E27"/>
    <w:rsid w:val="009178CB"/>
    <w:rsid w:val="00933662"/>
    <w:rsid w:val="00951867"/>
    <w:rsid w:val="00955618"/>
    <w:rsid w:val="009C2248"/>
    <w:rsid w:val="009E10D1"/>
    <w:rsid w:val="00A109D3"/>
    <w:rsid w:val="00A13AD3"/>
    <w:rsid w:val="00A34BAA"/>
    <w:rsid w:val="00A72772"/>
    <w:rsid w:val="00A85B96"/>
    <w:rsid w:val="00A93B25"/>
    <w:rsid w:val="00AE1C1A"/>
    <w:rsid w:val="00B01487"/>
    <w:rsid w:val="00B024BA"/>
    <w:rsid w:val="00B03DA0"/>
    <w:rsid w:val="00B62395"/>
    <w:rsid w:val="00B76C3D"/>
    <w:rsid w:val="00B92DB9"/>
    <w:rsid w:val="00BC571A"/>
    <w:rsid w:val="00BE3885"/>
    <w:rsid w:val="00C131BF"/>
    <w:rsid w:val="00C33214"/>
    <w:rsid w:val="00C42D66"/>
    <w:rsid w:val="00C63127"/>
    <w:rsid w:val="00C97DA6"/>
    <w:rsid w:val="00CA3887"/>
    <w:rsid w:val="00CC2FD4"/>
    <w:rsid w:val="00D14A58"/>
    <w:rsid w:val="00D17BEF"/>
    <w:rsid w:val="00D20E99"/>
    <w:rsid w:val="00D6240D"/>
    <w:rsid w:val="00D7523F"/>
    <w:rsid w:val="00DF5845"/>
    <w:rsid w:val="00E30E35"/>
    <w:rsid w:val="00E4379C"/>
    <w:rsid w:val="00E469A8"/>
    <w:rsid w:val="00E5655E"/>
    <w:rsid w:val="00E66C1D"/>
    <w:rsid w:val="00E86183"/>
    <w:rsid w:val="00EA2FC9"/>
    <w:rsid w:val="00EC71C3"/>
    <w:rsid w:val="00ED5B24"/>
    <w:rsid w:val="00EF3862"/>
    <w:rsid w:val="00F0538E"/>
    <w:rsid w:val="00F12234"/>
    <w:rsid w:val="00F30DEC"/>
    <w:rsid w:val="00FA329E"/>
    <w:rsid w:val="00FA4C70"/>
    <w:rsid w:val="00FF75EC"/>
    <w:rsid w:val="01AE3368"/>
    <w:rsid w:val="01CF0608"/>
    <w:rsid w:val="02BE3A7E"/>
    <w:rsid w:val="030003CB"/>
    <w:rsid w:val="05883ED0"/>
    <w:rsid w:val="058F1702"/>
    <w:rsid w:val="06304C93"/>
    <w:rsid w:val="063B53E6"/>
    <w:rsid w:val="06A22554"/>
    <w:rsid w:val="071C4121"/>
    <w:rsid w:val="07367B2A"/>
    <w:rsid w:val="0923288D"/>
    <w:rsid w:val="09B72FD5"/>
    <w:rsid w:val="0BF84BC5"/>
    <w:rsid w:val="0D701E19"/>
    <w:rsid w:val="0DED607A"/>
    <w:rsid w:val="0E4517B1"/>
    <w:rsid w:val="102B3E33"/>
    <w:rsid w:val="10910273"/>
    <w:rsid w:val="10C747CA"/>
    <w:rsid w:val="11831FC3"/>
    <w:rsid w:val="12B97AC7"/>
    <w:rsid w:val="141B23B3"/>
    <w:rsid w:val="151C4634"/>
    <w:rsid w:val="16B20DAC"/>
    <w:rsid w:val="16F47617"/>
    <w:rsid w:val="16FA3937"/>
    <w:rsid w:val="177268F4"/>
    <w:rsid w:val="17EA0D40"/>
    <w:rsid w:val="18316649"/>
    <w:rsid w:val="188E7858"/>
    <w:rsid w:val="1A655F05"/>
    <w:rsid w:val="1AC10063"/>
    <w:rsid w:val="207A479D"/>
    <w:rsid w:val="20F94031"/>
    <w:rsid w:val="220C13A1"/>
    <w:rsid w:val="25357778"/>
    <w:rsid w:val="25D845A8"/>
    <w:rsid w:val="26075D3E"/>
    <w:rsid w:val="26EB53DA"/>
    <w:rsid w:val="27736699"/>
    <w:rsid w:val="27840543"/>
    <w:rsid w:val="27CC1404"/>
    <w:rsid w:val="286C6DCB"/>
    <w:rsid w:val="2AB078A1"/>
    <w:rsid w:val="2B1C0A93"/>
    <w:rsid w:val="2B692874"/>
    <w:rsid w:val="2C33261A"/>
    <w:rsid w:val="2D504A66"/>
    <w:rsid w:val="2E844E0D"/>
    <w:rsid w:val="2E9D5158"/>
    <w:rsid w:val="2ECE479A"/>
    <w:rsid w:val="313F2370"/>
    <w:rsid w:val="31411253"/>
    <w:rsid w:val="31BC0BA2"/>
    <w:rsid w:val="32B83797"/>
    <w:rsid w:val="33761EA9"/>
    <w:rsid w:val="33952DD9"/>
    <w:rsid w:val="34324847"/>
    <w:rsid w:val="35A75FA3"/>
    <w:rsid w:val="362575FC"/>
    <w:rsid w:val="362D7FF8"/>
    <w:rsid w:val="36AC48C6"/>
    <w:rsid w:val="36E9143D"/>
    <w:rsid w:val="37283891"/>
    <w:rsid w:val="39B51946"/>
    <w:rsid w:val="3D9E1B59"/>
    <w:rsid w:val="3DD07BE6"/>
    <w:rsid w:val="3E466D74"/>
    <w:rsid w:val="425C5EED"/>
    <w:rsid w:val="43E31666"/>
    <w:rsid w:val="440F45B0"/>
    <w:rsid w:val="45101210"/>
    <w:rsid w:val="45B423ED"/>
    <w:rsid w:val="45EA7CB3"/>
    <w:rsid w:val="469D1675"/>
    <w:rsid w:val="46CC1167"/>
    <w:rsid w:val="470012B3"/>
    <w:rsid w:val="47575880"/>
    <w:rsid w:val="477535AD"/>
    <w:rsid w:val="478A52AA"/>
    <w:rsid w:val="48286A3B"/>
    <w:rsid w:val="493A2D00"/>
    <w:rsid w:val="495042D1"/>
    <w:rsid w:val="49C64593"/>
    <w:rsid w:val="49F91789"/>
    <w:rsid w:val="4D86770C"/>
    <w:rsid w:val="51D04201"/>
    <w:rsid w:val="52647BAD"/>
    <w:rsid w:val="54C15A17"/>
    <w:rsid w:val="552159DD"/>
    <w:rsid w:val="55C850F9"/>
    <w:rsid w:val="56686E91"/>
    <w:rsid w:val="57C4203E"/>
    <w:rsid w:val="57D4431F"/>
    <w:rsid w:val="5A042B6F"/>
    <w:rsid w:val="5A755946"/>
    <w:rsid w:val="5B5150EA"/>
    <w:rsid w:val="5B915EEE"/>
    <w:rsid w:val="5BA65531"/>
    <w:rsid w:val="5C964D4C"/>
    <w:rsid w:val="5D9D1724"/>
    <w:rsid w:val="5DA45C25"/>
    <w:rsid w:val="5DA90959"/>
    <w:rsid w:val="5EBC30A5"/>
    <w:rsid w:val="608F0419"/>
    <w:rsid w:val="61081953"/>
    <w:rsid w:val="61756C12"/>
    <w:rsid w:val="63377C50"/>
    <w:rsid w:val="64855383"/>
    <w:rsid w:val="66082758"/>
    <w:rsid w:val="6626043C"/>
    <w:rsid w:val="66770C98"/>
    <w:rsid w:val="671E6DD2"/>
    <w:rsid w:val="679333DD"/>
    <w:rsid w:val="67A755AC"/>
    <w:rsid w:val="681874B4"/>
    <w:rsid w:val="69167CCA"/>
    <w:rsid w:val="6BAF2C82"/>
    <w:rsid w:val="6BD526E8"/>
    <w:rsid w:val="6C0E2C14"/>
    <w:rsid w:val="6C172D01"/>
    <w:rsid w:val="6C5166A9"/>
    <w:rsid w:val="6CC45C26"/>
    <w:rsid w:val="6D090170"/>
    <w:rsid w:val="6D400035"/>
    <w:rsid w:val="6D886F57"/>
    <w:rsid w:val="6DFF3A4C"/>
    <w:rsid w:val="6FCF2569"/>
    <w:rsid w:val="70001CFE"/>
    <w:rsid w:val="714F6A99"/>
    <w:rsid w:val="7193388D"/>
    <w:rsid w:val="724238EE"/>
    <w:rsid w:val="726A345E"/>
    <w:rsid w:val="739B6CF5"/>
    <w:rsid w:val="744460E9"/>
    <w:rsid w:val="749113CE"/>
    <w:rsid w:val="74BF5CE3"/>
    <w:rsid w:val="75DC28C5"/>
    <w:rsid w:val="767A350B"/>
    <w:rsid w:val="77F060E9"/>
    <w:rsid w:val="78675530"/>
    <w:rsid w:val="78A43B6E"/>
    <w:rsid w:val="7B537C3E"/>
    <w:rsid w:val="7B5A1010"/>
    <w:rsid w:val="7C897E2D"/>
    <w:rsid w:val="7CBC6FAC"/>
    <w:rsid w:val="7D015F36"/>
    <w:rsid w:val="7D1312C2"/>
    <w:rsid w:val="7DEB1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Times New Roman" w:eastAsia="宋体" w:cs="Times New Roman"/>
      <w:sz w:val="21"/>
      <w:lang w:val="en-US" w:eastAsia="zh-CN" w:bidi="ar-SA"/>
    </w:rPr>
  </w:style>
  <w:style w:type="paragraph" w:styleId="3">
    <w:name w:val="Body Text"/>
    <w:basedOn w:val="1"/>
    <w:next w:val="1"/>
    <w:qFormat/>
    <w:uiPriority w:val="1"/>
    <w:pPr>
      <w:spacing w:before="42" w:line="240" w:lineRule="auto"/>
      <w:ind w:left="141" w:firstLine="0" w:firstLineChars="0"/>
      <w:jc w:val="left"/>
    </w:pPr>
    <w:rPr>
      <w:rFonts w:ascii="宋体" w:hAnsi="宋体" w:cstheme="minorBidi"/>
      <w:kern w:val="0"/>
      <w:sz w:val="24"/>
      <w:szCs w:val="24"/>
      <w:lang w:eastAsia="en-US"/>
    </w:rPr>
  </w:style>
  <w:style w:type="paragraph" w:styleId="4">
    <w:name w:val="Body Text Indent"/>
    <w:basedOn w:val="1"/>
    <w:next w:val="5"/>
    <w:semiHidden/>
    <w:unhideWhenUsed/>
    <w:qFormat/>
    <w:uiPriority w:val="99"/>
    <w:pPr>
      <w:spacing w:after="120"/>
      <w:ind w:left="420" w:leftChars="200"/>
    </w:pPr>
  </w:style>
  <w:style w:type="paragraph" w:styleId="5">
    <w:name w:val="envelope return"/>
    <w:basedOn w:val="1"/>
    <w:unhideWhenUsed/>
    <w:qFormat/>
    <w:uiPriority w:val="99"/>
    <w:pPr>
      <w:snapToGrid w:val="0"/>
    </w:pPr>
    <w:rPr>
      <w:rFonts w:ascii="Arial" w:hAnsi="Arial"/>
    </w:r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2"/>
    <w:basedOn w:val="4"/>
    <w:qFormat/>
    <w:uiPriority w:val="99"/>
    <w:pPr>
      <w:ind w:firstLine="420" w:firstLineChars="200"/>
    </w:pPr>
    <w:rPr>
      <w:sz w:val="32"/>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color w:val="0000FF"/>
      <w:u w:val="single"/>
    </w:rPr>
  </w:style>
  <w:style w:type="character" w:customStyle="1" w:styleId="15">
    <w:name w:val="页眉 字符"/>
    <w:basedOn w:val="13"/>
    <w:link w:val="8"/>
    <w:semiHidden/>
    <w:qFormat/>
    <w:uiPriority w:val="99"/>
    <w:rPr>
      <w:sz w:val="18"/>
      <w:szCs w:val="18"/>
    </w:rPr>
  </w:style>
  <w:style w:type="character" w:customStyle="1" w:styleId="16">
    <w:name w:val="页脚 字符"/>
    <w:basedOn w:val="13"/>
    <w:link w:val="7"/>
    <w:qFormat/>
    <w:uiPriority w:val="99"/>
    <w:rPr>
      <w:sz w:val="18"/>
      <w:szCs w:val="18"/>
    </w:rPr>
  </w:style>
  <w:style w:type="paragraph" w:customStyle="1" w:styleId="17">
    <w:name w:val="p0"/>
    <w:basedOn w:val="1"/>
    <w:qFormat/>
    <w:uiPriority w:val="0"/>
    <w:pPr>
      <w:widowControl/>
    </w:pPr>
    <w:rPr>
      <w:rFonts w:ascii="Calibri" w:hAnsi="Calibri" w:eastAsia="宋体" w:cs="Calibri"/>
      <w:kern w:val="0"/>
      <w:szCs w:val="21"/>
    </w:rPr>
  </w:style>
  <w:style w:type="character" w:customStyle="1" w:styleId="18">
    <w:name w:val="批注框文本 字符"/>
    <w:basedOn w:val="13"/>
    <w:link w:val="6"/>
    <w:semiHidden/>
    <w:qFormat/>
    <w:uiPriority w:val="99"/>
    <w:rPr>
      <w:sz w:val="18"/>
      <w:szCs w:val="18"/>
    </w:rPr>
  </w:style>
  <w:style w:type="paragraph" w:customStyle="1" w:styleId="19">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20">
    <w:name w:val="List Paragraph"/>
    <w:basedOn w:val="1"/>
    <w:qFormat/>
    <w:uiPriority w:val="34"/>
    <w:pPr>
      <w:ind w:firstLine="420" w:firstLineChars="200"/>
    </w:pPr>
  </w:style>
  <w:style w:type="table" w:customStyle="1" w:styleId="21">
    <w:name w:val="网格型1"/>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内容正文"/>
    <w:basedOn w:val="1"/>
    <w:qFormat/>
    <w:uiPriority w:val="0"/>
    <w:pPr>
      <w:snapToGrid w:val="0"/>
      <w:ind w:firstLine="200" w:firstLineChars="200"/>
      <w:contextualSpacing/>
      <w:jc w:val="left"/>
    </w:pPr>
    <w:rPr>
      <w:rFonts w:ascii="仿宋" w:hAnsi="仿宋" w:eastAsia="仿宋"/>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59970-23C4-4585-944B-24BE7B39B723}">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9554</Words>
  <Characters>9761</Characters>
  <Lines>10</Lines>
  <Paragraphs>3</Paragraphs>
  <TotalTime>4</TotalTime>
  <ScaleCrop>false</ScaleCrop>
  <LinksUpToDate>false</LinksUpToDate>
  <CharactersWithSpaces>9982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2022-02-07T02:48:00Z</dcterms:created>
  <dc:creator>USER</dc:creator>
  <cp:lastModifiedBy>飞鱼</cp:lastModifiedBy>
  <cp:lastPrinted>2022-06-07T02:31:00Z</cp:lastPrinted>
  <dcterms:modified xsi:type="dcterms:W3CDTF">2022-06-07T07:19:20Z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2052-11.1.0.11744</vt:lpwstr>
  </property>
  <property fmtid="{D5CDD505-2E9C-101B-9397-08002B2CF9AE}" pid="4" name="ICV">
    <vt:lpwstr>C2C80AEC874844AE959D309A8BFFE3FE</vt:lpwstr>
  </property>
</Properties>
</file>